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85A3C">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4626366F">
      <w:pPr>
        <w:spacing w:line="570" w:lineRule="exact"/>
        <w:jc w:val="center"/>
        <w:rPr>
          <w:rFonts w:hint="eastAsia" w:ascii="方正小标宋简体" w:hAnsi="方正小标宋简体" w:eastAsia="方正小标宋简体" w:cs="Times New Roman"/>
          <w:sz w:val="44"/>
          <w:szCs w:val="44"/>
        </w:rPr>
      </w:pPr>
    </w:p>
    <w:p w14:paraId="43E5E921">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甲方（联合体牵头人）：</w:t>
      </w:r>
    </w:p>
    <w:p w14:paraId="4C0746E0">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统一社会信用代码：</w:t>
      </w:r>
    </w:p>
    <w:p w14:paraId="0B86642E">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w:t>
      </w:r>
    </w:p>
    <w:p w14:paraId="3258129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p>
    <w:p w14:paraId="27A5B8EC">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联系方式：</w:t>
      </w:r>
    </w:p>
    <w:p w14:paraId="7A031CE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乙方（联合体成员/供应单位）：</w:t>
      </w:r>
    </w:p>
    <w:p w14:paraId="5D25D9B1">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统一社会信用代码：</w:t>
      </w:r>
    </w:p>
    <w:p w14:paraId="022B2C47">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w:t>
      </w:r>
    </w:p>
    <w:p w14:paraId="7E4A2464">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p>
    <w:p w14:paraId="6BC12B6E">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联系方式：</w:t>
      </w:r>
    </w:p>
    <w:p w14:paraId="1B97DCF0">
      <w:pPr>
        <w:spacing w:line="570" w:lineRule="exact"/>
        <w:rPr>
          <w:rFonts w:ascii="Times New Roman" w:hAnsi="Times New Roman" w:eastAsia="仿宋_GB2312" w:cs="Times New Roman"/>
          <w:sz w:val="32"/>
          <w:szCs w:val="32"/>
        </w:rPr>
      </w:pPr>
    </w:p>
    <w:p w14:paraId="4F20161C">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为参与</w:t>
      </w:r>
      <w:r>
        <w:rPr>
          <w:rFonts w:hint="eastAsia" w:ascii="Times New Roman" w:hAnsi="Times New Roman" w:eastAsia="仿宋_GB2312" w:cs="Times New Roman"/>
          <w:sz w:val="32"/>
          <w:szCs w:val="32"/>
        </w:rPr>
        <w:t>广汉市城市更新广青融合发展区城中村改造项目</w:t>
      </w:r>
      <w:r>
        <w:rPr>
          <w:rFonts w:ascii="Times New Roman" w:hAnsi="Times New Roman" w:eastAsia="仿宋_GB2312" w:cs="Times New Roman"/>
          <w:sz w:val="32"/>
          <w:szCs w:val="32"/>
        </w:rPr>
        <w:t>（以下简称“本项目”）投标及后续履约，甲、乙</w:t>
      </w:r>
      <w:r>
        <w:rPr>
          <w:rFonts w:hint="eastAsia" w:ascii="Times New Roman" w:hAnsi="Times New Roman" w:eastAsia="仿宋_GB2312" w:cs="Times New Roman"/>
          <w:sz w:val="32"/>
          <w:szCs w:val="32"/>
          <w:lang w:val="en-US" w:eastAsia="zh-CN"/>
        </w:rPr>
        <w:t>双</w:t>
      </w:r>
      <w:r>
        <w:rPr>
          <w:rFonts w:ascii="Times New Roman" w:hAnsi="Times New Roman" w:eastAsia="仿宋_GB2312" w:cs="Times New Roman"/>
          <w:sz w:val="32"/>
          <w:szCs w:val="32"/>
        </w:rPr>
        <w:t>方本着平等自愿、互利共赢、诚实信用的原则，就组成联合体参与本项目相关事宜协商一致，签订本协议，以资共同遵守。</w:t>
      </w:r>
    </w:p>
    <w:p w14:paraId="65430F30">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2C18622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联合体名称：[可约定联合体名称，如“XX有限公司-XX公司联合体”]</w:t>
      </w:r>
    </w:p>
    <w:p w14:paraId="688CD4D6">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联合体牵头人：本协议甲方负责代表联合体处理本项目投标及履约阶段的相关事宜。</w:t>
      </w:r>
    </w:p>
    <w:p w14:paraId="05EE557F">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联合体成员：本协议乙方，负责按约定承担本项目砂浆的供应义务。</w:t>
      </w:r>
    </w:p>
    <w:p w14:paraId="2260E676">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0458E6A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联合体共同参与</w:t>
      </w:r>
      <w:r>
        <w:rPr>
          <w:rFonts w:hint="eastAsia" w:ascii="Times New Roman" w:hAnsi="Times New Roman" w:eastAsia="仿宋_GB2312" w:cs="Times New Roman"/>
          <w:sz w:val="32"/>
          <w:szCs w:val="32"/>
        </w:rPr>
        <w:t>广汉市城市更新广青融合发展区城中村改造项目</w:t>
      </w:r>
      <w:r>
        <w:rPr>
          <w:rFonts w:hint="eastAsia" w:ascii="Times New Roman" w:hAnsi="Times New Roman" w:eastAsia="仿宋_GB2312" w:cs="Times New Roman"/>
          <w:sz w:val="32"/>
          <w:szCs w:val="32"/>
          <w:lang w:val="en-US" w:eastAsia="zh-CN"/>
        </w:rPr>
        <w:t>砂浆供应</w:t>
      </w:r>
      <w:bookmarkStart w:id="0" w:name="_GoBack"/>
      <w:bookmarkEnd w:id="0"/>
      <w:commentRangeStart w:id="0"/>
      <w:r>
        <w:rPr>
          <w:rFonts w:hint="eastAsia" w:ascii="Times New Roman" w:hAnsi="Times New Roman" w:eastAsia="方正仿宋简体" w:cs="Times New Roman"/>
          <w:sz w:val="32"/>
          <w:szCs w:val="32"/>
          <w:lang w:val="en-US" w:eastAsia="zh-CN"/>
        </w:rPr>
        <w:t>投标</w:t>
      </w:r>
      <w:commentRangeEnd w:id="0"/>
      <w:r>
        <w:commentReference w:id="0"/>
      </w:r>
      <w:r>
        <w:rPr>
          <w:rFonts w:hint="eastAsia" w:ascii="Times New Roman" w:hAnsi="Times New Roman" w:eastAsia="方正仿宋简体" w:cs="Times New Roman"/>
          <w:sz w:val="32"/>
          <w:szCs w:val="32"/>
          <w:lang w:val="en-US" w:eastAsia="zh-CN"/>
        </w:rPr>
        <w:t>，并按采购人确定的</w:t>
      </w:r>
      <w:commentRangeStart w:id="1"/>
      <w:r>
        <w:rPr>
          <w:rFonts w:hint="eastAsia" w:ascii="Times New Roman" w:hAnsi="Times New Roman" w:eastAsia="方正仿宋简体" w:cs="Times New Roman"/>
          <w:sz w:val="32"/>
          <w:szCs w:val="32"/>
          <w:lang w:val="en-US" w:eastAsia="zh-CN"/>
        </w:rPr>
        <w:t>控制价下浮比例+</w:t>
      </w:r>
      <w:r>
        <w:rPr>
          <w:rFonts w:hint="eastAsia" w:ascii="Times New Roman" w:hAnsi="Times New Roman" w:eastAsia="方正仿宋简体" w:cs="Times New Roman"/>
          <w:sz w:val="32"/>
          <w:szCs w:val="32"/>
        </w:rPr>
        <w:t>下浮系数</w:t>
      </w:r>
      <w:r>
        <w:rPr>
          <w:rFonts w:hint="eastAsia" w:ascii="Times New Roman" w:hAnsi="Times New Roman" w:eastAsia="方正仿宋简体" w:cs="Times New Roman"/>
          <w:sz w:val="32"/>
          <w:szCs w:val="32"/>
          <w:u w:val="single"/>
          <w:lang w:val="en-US" w:eastAsia="zh-CN"/>
        </w:rPr>
        <w:t>Y</w:t>
      </w:r>
      <w:r>
        <w:rPr>
          <w:rFonts w:hint="eastAsia" w:ascii="Times New Roman" w:hAnsi="Times New Roman" w:eastAsia="方正仿宋简体" w:cs="Times New Roman"/>
          <w:sz w:val="32"/>
          <w:szCs w:val="32"/>
          <w:lang w:val="en-US" w:eastAsia="zh-CN"/>
        </w:rPr>
        <w:t>%</w:t>
      </w:r>
      <w:commentRangeEnd w:id="1"/>
      <w:r>
        <w:commentReference w:id="1"/>
      </w:r>
      <w:r>
        <w:rPr>
          <w:rFonts w:hint="eastAsia" w:ascii="Times New Roman" w:hAnsi="Times New Roman" w:eastAsia="方正仿宋简体" w:cs="Times New Roman"/>
          <w:sz w:val="32"/>
          <w:szCs w:val="32"/>
          <w:lang w:val="en-US" w:eastAsia="zh-CN"/>
        </w:rPr>
        <w:t>进行最终报价，若中标，共同履行与采购人签订的采购合同（以下简称“主合同”），由乙方负责砂浆的生产、供应，甲方负责货物供应阶段的组织协调工作。</w:t>
      </w:r>
    </w:p>
    <w:p w14:paraId="3D18A44A">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4D919905">
      <w:pPr>
        <w:spacing w:line="570" w:lineRule="exact"/>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（一）甲方（牵头人）职责</w:t>
      </w:r>
    </w:p>
    <w:p w14:paraId="183B65C3">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负责本项目投标阶段的统筹协调，包括但不限于投标文件编制、投标事宜对接等。</w:t>
      </w:r>
    </w:p>
    <w:p w14:paraId="2A6351C1">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负责货物供应阶段的组织协调工作，包括但不限于与采购人对接供货计划、协调乙方与采购人的沟通、跟进供货进度、协助处理供货过程中的问题等。</w:t>
      </w:r>
    </w:p>
    <w:p w14:paraId="12BC46A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负责与采购人办理砂浆的结算事宜，包括核对结算数量、结算单价，跟进采购人支付进度。</w:t>
      </w:r>
    </w:p>
    <w:p w14:paraId="66EC11C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按本协议约定向乙方支付扣除组织协调费后的货款。</w:t>
      </w:r>
    </w:p>
    <w:p w14:paraId="2DC6239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履行主合同中约定的牵头人相关义务。</w:t>
      </w:r>
    </w:p>
    <w:p w14:paraId="4D1557B3">
      <w:pPr>
        <w:spacing w:line="570" w:lineRule="exact"/>
        <w:ind w:firstLine="640" w:firstLineChars="200"/>
        <w:rPr>
          <w:rFonts w:ascii="楷体_GB2312" w:hAnsi="Times New Roman" w:eastAsia="楷体_GB2312" w:cs="Times New Roman"/>
          <w:sz w:val="32"/>
          <w:szCs w:val="32"/>
        </w:rPr>
      </w:pPr>
      <w:r>
        <w:rPr>
          <w:rFonts w:ascii="楷体_GB2312" w:hAnsi="Times New Roman" w:eastAsia="楷体_GB2312" w:cs="Times New Roman"/>
          <w:sz w:val="32"/>
          <w:szCs w:val="32"/>
        </w:rPr>
        <w:t>（二）乙方（供应单位）职责</w:t>
      </w:r>
    </w:p>
    <w:p w14:paraId="6197ACA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配合甲方完成投标工作，提供投标所需的资质、资料等。</w:t>
      </w:r>
    </w:p>
    <w:p w14:paraId="27450364">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按照主合同及本协议约定，按时、按质、按量供应砂浆，确保供货符合采购人要求。</w:t>
      </w:r>
    </w:p>
    <w:p w14:paraId="65E50DB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负责供货过程中的运输、卸货等事宜，承担相关费用。</w:t>
      </w:r>
    </w:p>
    <w:p w14:paraId="5293079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配合采购人的抽检工作，确保供货不存在亏方等问题。</w:t>
      </w:r>
    </w:p>
    <w:p w14:paraId="0C4ABFBC">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提供供货所需的送货小票等结算凭证，配合甲方办理结算。</w:t>
      </w:r>
    </w:p>
    <w:p w14:paraId="542F3E5D">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履行主合同中约定的货物供应相关义务。</w:t>
      </w:r>
    </w:p>
    <w:p w14:paraId="3D44A01E">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5DF0BC8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因甲方履行组织协调职责产生费用，乙方同意向甲方缴纳组织协调费。</w:t>
      </w:r>
    </w:p>
    <w:p w14:paraId="53A1CD68">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组织协调费计算方式：以</w:t>
      </w:r>
      <w:r>
        <w:rPr>
          <w:rFonts w:hint="eastAsia" w:ascii="Times New Roman" w:hAnsi="Times New Roman" w:eastAsia="仿宋_GB2312" w:cs="Times New Roman"/>
          <w:sz w:val="32"/>
          <w:szCs w:val="32"/>
          <w:lang w:val="en-US" w:eastAsia="zh-CN"/>
        </w:rPr>
        <w:t>砂浆</w:t>
      </w:r>
      <w:r>
        <w:rPr>
          <w:rFonts w:ascii="Times New Roman" w:hAnsi="Times New Roman" w:eastAsia="仿宋_GB2312" w:cs="Times New Roman"/>
          <w:sz w:val="32"/>
          <w:szCs w:val="32"/>
        </w:rPr>
        <w:t>结算价格为基数，按双方确定的组织协调费系数</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%计算。</w:t>
      </w:r>
    </w:p>
    <w:p w14:paraId="4798488E">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费用扣除：在货物结算过程中，甲方按结算金额向乙方支付货款，</w:t>
      </w:r>
      <w:r>
        <w:rPr>
          <w:rFonts w:ascii="Times New Roman" w:hAnsi="Times New Roman" w:eastAsia="仿宋_GB2312" w:cs="Times New Roman"/>
          <w:color w:val="auto"/>
          <w:sz w:val="32"/>
          <w:szCs w:val="32"/>
          <w:highlight w:val="none"/>
        </w:rPr>
        <w:t xml:space="preserve">同时扣除组织协调费（即组织协调费 = </w:t>
      </w:r>
      <w:r>
        <w:rPr>
          <w:rFonts w:hint="eastAsia" w:ascii="Times New Roman" w:hAnsi="Times New Roman" w:eastAsia="仿宋_GB2312" w:cs="Times New Roman"/>
          <w:color w:val="auto"/>
          <w:sz w:val="32"/>
          <w:szCs w:val="32"/>
          <w:highlight w:val="none"/>
          <w:lang w:val="en-US" w:eastAsia="zh-CN"/>
        </w:rPr>
        <w:t>砂浆</w:t>
      </w:r>
      <w:r>
        <w:rPr>
          <w:rFonts w:ascii="Times New Roman" w:hAnsi="Times New Roman" w:eastAsia="仿宋_GB2312" w:cs="Times New Roman"/>
          <w:color w:val="auto"/>
          <w:sz w:val="32"/>
          <w:szCs w:val="32"/>
          <w:highlight w:val="none"/>
        </w:rPr>
        <w:t>结算价格×</w:t>
      </w:r>
      <w:r>
        <w:rPr>
          <w:rFonts w:hint="eastAsia" w:ascii="Times New Roman" w:hAnsi="Times New Roman" w:eastAsia="仿宋_GB2312" w:cs="Times New Roman"/>
          <w:color w:val="auto"/>
          <w:sz w:val="32"/>
          <w:szCs w:val="32"/>
          <w:highlight w:val="none"/>
          <w:lang w:val="en-US" w:eastAsia="zh-CN"/>
        </w:rPr>
        <w:t xml:space="preserve">   </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color w:val="0000FF"/>
          <w:sz w:val="32"/>
          <w:szCs w:val="32"/>
          <w:highlight w:val="none"/>
        </w:rPr>
        <w:t>。</w:t>
      </w:r>
      <w:r>
        <w:rPr>
          <w:rFonts w:ascii="Times New Roman" w:hAnsi="Times New Roman" w:eastAsia="仿宋_GB2312" w:cs="Times New Roman"/>
          <w:sz w:val="32"/>
          <w:szCs w:val="32"/>
        </w:rPr>
        <w:t>该费用扣除规则适用于月度进度款、供货完成后进度款及竣工结算款等所有支付节点。</w:t>
      </w:r>
    </w:p>
    <w:p w14:paraId="2DB0A8E8">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五、</w:t>
      </w:r>
      <w:r>
        <w:rPr>
          <w:rFonts w:hint="eastAsia" w:ascii="黑体" w:hAnsi="黑体" w:eastAsia="黑体" w:cs="Times New Roman"/>
          <w:sz w:val="32"/>
          <w:szCs w:val="32"/>
          <w:lang w:val="en-US" w:eastAsia="zh-CN"/>
        </w:rPr>
        <w:t>投标保证金、履约保证金、</w:t>
      </w:r>
      <w:r>
        <w:rPr>
          <w:rFonts w:hint="default" w:ascii="黑体" w:hAnsi="黑体" w:eastAsia="黑体" w:cs="Times New Roman"/>
          <w:sz w:val="32"/>
          <w:szCs w:val="32"/>
          <w:lang w:val="en-US" w:eastAsia="zh-CN"/>
        </w:rPr>
        <w:t>招标代理费</w:t>
      </w:r>
      <w:r>
        <w:rPr>
          <w:rFonts w:hint="eastAsia" w:ascii="黑体" w:hAnsi="黑体" w:eastAsia="黑体" w:cs="Times New Roman"/>
          <w:sz w:val="32"/>
          <w:szCs w:val="32"/>
          <w:lang w:val="en-US" w:eastAsia="zh-CN"/>
        </w:rPr>
        <w:t>支付方式</w:t>
      </w:r>
    </w:p>
    <w:p w14:paraId="4653DD9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投标保证金、履约保证金、</w:t>
      </w:r>
      <w:r>
        <w:rPr>
          <w:rFonts w:hint="default" w:ascii="Times New Roman" w:hAnsi="Times New Roman" w:eastAsia="方正仿宋简体" w:cs="Times New Roman"/>
          <w:sz w:val="32"/>
          <w:szCs w:val="32"/>
          <w:lang w:val="en-US" w:eastAsia="zh-CN"/>
        </w:rPr>
        <w:t>招标代理费由联合体</w:t>
      </w:r>
      <w:r>
        <w:rPr>
          <w:rFonts w:hint="eastAsia" w:ascii="Times New Roman" w:hAnsi="Times New Roman" w:eastAsia="方正仿宋简体" w:cs="Times New Roman"/>
          <w:sz w:val="32"/>
          <w:szCs w:val="32"/>
          <w:lang w:val="en-US" w:eastAsia="zh-CN"/>
        </w:rPr>
        <w:t>其他</w:t>
      </w:r>
      <w:r>
        <w:rPr>
          <w:rFonts w:hint="default" w:ascii="Times New Roman" w:hAnsi="Times New Roman" w:eastAsia="方正仿宋简体" w:cs="Times New Roman"/>
          <w:sz w:val="32"/>
          <w:szCs w:val="32"/>
          <w:lang w:val="en-US" w:eastAsia="zh-CN"/>
        </w:rPr>
        <w:t>成员单位按照</w:t>
      </w:r>
      <w:r>
        <w:rPr>
          <w:rFonts w:hint="eastAsia" w:ascii="Times New Roman" w:hAnsi="Times New Roman" w:eastAsia="方正仿宋简体" w:cs="Times New Roman"/>
          <w:sz w:val="32"/>
          <w:szCs w:val="32"/>
          <w:lang w:val="en-US" w:eastAsia="zh-CN"/>
        </w:rPr>
        <w:t>相应供货中标比值进行分摊</w:t>
      </w:r>
      <w:r>
        <w:rPr>
          <w:rFonts w:hint="default" w:ascii="Times New Roman" w:hAnsi="Times New Roman" w:eastAsia="方正仿宋简体" w:cs="Times New Roman"/>
          <w:sz w:val="32"/>
          <w:szCs w:val="32"/>
          <w:lang w:val="en-US" w:eastAsia="zh-CN"/>
        </w:rPr>
        <w:t>支付</w:t>
      </w:r>
      <w:r>
        <w:rPr>
          <w:rFonts w:hint="eastAsia" w:ascii="Times New Roman" w:hAnsi="Times New Roman" w:eastAsia="方正仿宋简体" w:cs="Times New Roman"/>
          <w:sz w:val="32"/>
          <w:szCs w:val="32"/>
          <w:lang w:val="en-US" w:eastAsia="zh-CN"/>
        </w:rPr>
        <w:t>，牵头单位不承担前述费用。</w:t>
      </w:r>
    </w:p>
    <w:p w14:paraId="02CEE0DE">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val="en-US" w:eastAsia="zh-CN"/>
        </w:rPr>
        <w:t>六、质量要求</w:t>
      </w:r>
    </w:p>
    <w:p w14:paraId="6FCB33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1.原材料优质</w:t>
      </w:r>
    </w:p>
    <w:p w14:paraId="6257080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 xml:space="preserve">水泥应选用符合国家标准的产品，强度等级稳定，无受潮、结块现象。砂的颗粒级配合理，含泥量、有害物质含量等指标符合规范要求。 </w:t>
      </w:r>
    </w:p>
    <w:p w14:paraId="0350902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2.性能稳定</w:t>
      </w:r>
    </w:p>
    <w:p w14:paraId="3B4AB65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稠度应满足施工要求，确保在不同环境条件下都具有良好的流动性和可塑性。强度符合设计规定，具备足够的承载能力和耐久性。 保水性良好，能防止水分过快流失，避免出现空鼓、开裂等质量问题。粘结力强，与基层材料紧密结合，保证工程整体质量。</w:t>
      </w:r>
    </w:p>
    <w:p w14:paraId="74553E0F">
      <w:pPr>
        <w:spacing w:line="570" w:lineRule="exact"/>
        <w:ind w:firstLine="640" w:firstLineChars="200"/>
        <w:rPr>
          <w:rFonts w:hint="eastAsia" w:ascii="黑体" w:hAnsi="黑体" w:eastAsia="黑体" w:cs="Times New Roman"/>
          <w:sz w:val="32"/>
          <w:szCs w:val="32"/>
          <w:highlight w:val="none"/>
          <w:lang w:val="en-US" w:eastAsia="zh-CN"/>
        </w:rPr>
      </w:pPr>
      <w:r>
        <w:rPr>
          <w:rFonts w:hint="eastAsia" w:ascii="黑体" w:hAnsi="黑体" w:eastAsia="黑体" w:cs="Times New Roman"/>
          <w:sz w:val="32"/>
          <w:szCs w:val="32"/>
          <w:highlight w:val="none"/>
          <w:lang w:val="en-US" w:eastAsia="zh-CN"/>
        </w:rPr>
        <w:t>七、质量保证期</w:t>
      </w:r>
    </w:p>
    <w:p w14:paraId="473E99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一）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可以自行解决，并对维修或更换服务以实际发生费用或市场价（以较高者为准）从甲方应支付给乙方的合同款项中扣除得到补偿。甲方根据协议规定对乙方行使的其他权利不受影响，并保留进一步索赔的权利。维修或更换后的货物的质量保证期相应延长。</w:t>
      </w:r>
    </w:p>
    <w:p w14:paraId="403DEE2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highlight w:val="none"/>
          <w:lang w:val="en-US" w:eastAsia="zh-CN"/>
        </w:rPr>
      </w:pPr>
      <w:r>
        <w:rPr>
          <w:rFonts w:hint="eastAsia" w:ascii="Times New Roman" w:hAnsi="Times New Roman" w:eastAsia="方正仿宋简体" w:cs="Times New Roman"/>
          <w:sz w:val="32"/>
          <w:szCs w:val="32"/>
          <w:highlight w:val="none"/>
          <w:lang w:val="en-US" w:eastAsia="zh-CN"/>
        </w:rPr>
        <w:t>（二）质量保证期后乙方仍应承担售后服务。乙方必须在接到甲方提出书面要求后2日内给予书面答复，并提供相应服务，以达到本工程项目业主满意。</w:t>
      </w:r>
    </w:p>
    <w:p w14:paraId="10A288E6">
      <w:pPr>
        <w:pStyle w:val="2"/>
        <w:rPr>
          <w:highlight w:val="none"/>
        </w:rPr>
      </w:pPr>
      <w:r>
        <w:rPr>
          <w:rFonts w:hint="eastAsia"/>
          <w:highlight w:val="none"/>
          <w:lang w:val="en-US" w:eastAsia="zh-CN"/>
        </w:rPr>
        <w:t xml:space="preserve">  </w:t>
      </w:r>
      <w:r>
        <w:rPr>
          <w:rFonts w:hint="eastAsia" w:ascii="黑体" w:hAnsi="黑体" w:eastAsia="黑体" w:cs="Times New Roman"/>
          <w:kern w:val="2"/>
          <w:sz w:val="32"/>
          <w:szCs w:val="32"/>
          <w:highlight w:val="none"/>
          <w:lang w:val="en-US" w:eastAsia="zh-CN" w:bidi="ar-SA"/>
        </w:rPr>
        <w:t>八、安全责任</w:t>
      </w:r>
    </w:p>
    <w:p w14:paraId="658627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highlight w:val="none"/>
          <w:lang w:val="en-US" w:eastAsia="zh-CN"/>
        </w:rPr>
      </w:pPr>
      <w:r>
        <w:rPr>
          <w:rFonts w:hint="default" w:ascii="Times New Roman" w:hAnsi="Times New Roman" w:eastAsia="方正仿宋简体" w:cs="Times New Roman"/>
          <w:sz w:val="32"/>
          <w:szCs w:val="32"/>
          <w:highlight w:val="none"/>
          <w:lang w:val="en-US" w:eastAsia="zh-CN"/>
        </w:rPr>
        <w:t>乙方在</w:t>
      </w:r>
      <w:r>
        <w:rPr>
          <w:rFonts w:hint="eastAsia" w:ascii="Times New Roman" w:hAnsi="Times New Roman" w:eastAsia="方正仿宋简体" w:cs="Times New Roman"/>
          <w:sz w:val="32"/>
          <w:szCs w:val="32"/>
          <w:highlight w:val="none"/>
          <w:lang w:val="en-US" w:eastAsia="zh-CN"/>
        </w:rPr>
        <w:t>砂浆</w:t>
      </w:r>
      <w:r>
        <w:rPr>
          <w:rFonts w:hint="default" w:ascii="Times New Roman" w:hAnsi="Times New Roman" w:eastAsia="方正仿宋简体" w:cs="Times New Roman"/>
          <w:sz w:val="32"/>
          <w:szCs w:val="32"/>
          <w:highlight w:val="none"/>
          <w:lang w:val="en-US" w:eastAsia="zh-CN"/>
        </w:rPr>
        <w:t>的生产、运输、卸货等供货全过程中，应严格遵守国家及地方关于安全生产、道路运输、施工现场管理等相关法律法规及规章制度，建立健全安全管理制度，配备必要的安全防护设施和人员，确保作业安全。因乙方原因导致发生安全事故（包括但不限于人员伤亡、财产损失等），由乙方承担全部责任及相应费用，并赔偿因此给甲方及</w:t>
      </w:r>
      <w:r>
        <w:rPr>
          <w:rFonts w:hint="eastAsia" w:ascii="Times New Roman" w:hAnsi="Times New Roman" w:eastAsia="方正仿宋简体" w:cs="Times New Roman"/>
          <w:sz w:val="32"/>
          <w:szCs w:val="32"/>
          <w:highlight w:val="none"/>
          <w:lang w:val="en-US" w:eastAsia="zh-CN"/>
        </w:rPr>
        <w:t>其他联合成员</w:t>
      </w:r>
      <w:r>
        <w:rPr>
          <w:rFonts w:hint="default" w:ascii="Times New Roman" w:hAnsi="Times New Roman" w:eastAsia="方正仿宋简体" w:cs="Times New Roman"/>
          <w:sz w:val="32"/>
          <w:szCs w:val="32"/>
          <w:highlight w:val="none"/>
          <w:lang w:val="en-US" w:eastAsia="zh-CN"/>
        </w:rPr>
        <w:t>造成的全部损失。</w:t>
      </w:r>
    </w:p>
    <w:p w14:paraId="43438849">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九</w:t>
      </w:r>
      <w:r>
        <w:rPr>
          <w:rFonts w:ascii="黑体" w:hAnsi="黑体" w:eastAsia="黑体" w:cs="Times New Roman"/>
          <w:sz w:val="32"/>
          <w:szCs w:val="32"/>
        </w:rPr>
        <w:t>、结算与支付</w:t>
      </w:r>
    </w:p>
    <w:p w14:paraId="3409A9CA">
      <w:pPr>
        <w:spacing w:line="570" w:lineRule="exact"/>
        <w:ind w:firstLine="640" w:firstLineChars="200"/>
        <w:rPr>
          <w:rFonts w:ascii="楷体_GB2312" w:hAnsi="Times New Roman" w:eastAsia="楷体_GB2312" w:cs="Times New Roman"/>
          <w:sz w:val="32"/>
          <w:szCs w:val="32"/>
        </w:rPr>
      </w:pPr>
      <w:r>
        <w:rPr>
          <w:rFonts w:ascii="楷体_GB2312" w:hAnsi="Times New Roman" w:eastAsia="楷体_GB2312" w:cs="Times New Roman"/>
          <w:sz w:val="32"/>
          <w:szCs w:val="32"/>
        </w:rPr>
        <w:t>（</w:t>
      </w:r>
      <w:r>
        <w:rPr>
          <w:rFonts w:hint="eastAsia" w:ascii="楷体_GB2312" w:hAnsi="Times New Roman" w:eastAsia="楷体_GB2312" w:cs="Times New Roman"/>
          <w:sz w:val="32"/>
          <w:szCs w:val="32"/>
          <w:lang w:val="en-US" w:eastAsia="zh-CN"/>
        </w:rPr>
        <w:t>一</w:t>
      </w:r>
      <w:r>
        <w:rPr>
          <w:rFonts w:ascii="楷体_GB2312" w:hAnsi="Times New Roman" w:eastAsia="楷体_GB2312" w:cs="Times New Roman"/>
          <w:sz w:val="32"/>
          <w:szCs w:val="32"/>
        </w:rPr>
        <w:t>）砂浆结算</w:t>
      </w:r>
    </w:p>
    <w:p w14:paraId="13DBD28D">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结算数量：以采购人现场代表签字确认的送货小票作为结算依据，按实际供货量结算。</w:t>
      </w:r>
    </w:p>
    <w:p w14:paraId="3581E4ED">
      <w:pPr>
        <w:spacing w:line="57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结算单价：</w:t>
      </w:r>
      <w:r>
        <w:rPr>
          <w:rFonts w:hint="eastAsia" w:ascii="Times New Roman" w:hAnsi="Times New Roman" w:eastAsia="仿宋_GB2312" w:cs="Times New Roman"/>
          <w:sz w:val="32"/>
          <w:szCs w:val="32"/>
        </w:rPr>
        <w:t>结算单价：按采购人结算单价</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％）作为结算单价。</w:t>
      </w:r>
    </w:p>
    <w:p w14:paraId="1618D71C">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采购人结算后，甲方按上述结算数量、结算单价确定砂浆结算总价，扣除</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%的组织协调费后，向</w:t>
      </w:r>
      <w:r>
        <w:rPr>
          <w:rFonts w:hint="eastAsia" w:ascii="Times New Roman" w:hAnsi="Times New Roman" w:eastAsia="仿宋_GB2312" w:cs="Times New Roman"/>
          <w:sz w:val="32"/>
          <w:szCs w:val="32"/>
          <w:lang w:val="en-US" w:eastAsia="zh-CN"/>
        </w:rPr>
        <w:t>乙</w:t>
      </w:r>
      <w:r>
        <w:rPr>
          <w:rFonts w:ascii="Times New Roman" w:hAnsi="Times New Roman" w:eastAsia="仿宋_GB2312" w:cs="Times New Roman"/>
          <w:sz w:val="32"/>
          <w:szCs w:val="32"/>
        </w:rPr>
        <w:t>方支付剩余款。</w:t>
      </w:r>
    </w:p>
    <w:p w14:paraId="67C96700">
      <w:pPr>
        <w:spacing w:line="570" w:lineRule="exact"/>
        <w:ind w:firstLine="640" w:firstLineChars="200"/>
        <w:rPr>
          <w:rFonts w:ascii="Times New Roman" w:hAnsi="Times New Roman" w:eastAsia="仿宋_GB2312" w:cs="Times New Roman"/>
          <w:sz w:val="32"/>
          <w:szCs w:val="32"/>
        </w:rPr>
      </w:pPr>
      <w:r>
        <w:rPr>
          <w:rFonts w:ascii="楷体_GB2312" w:hAnsi="Times New Roman" w:eastAsia="楷体_GB2312" w:cs="Times New Roman"/>
          <w:sz w:val="32"/>
          <w:szCs w:val="32"/>
        </w:rPr>
        <w:t>（</w:t>
      </w:r>
      <w:r>
        <w:rPr>
          <w:rFonts w:hint="eastAsia" w:ascii="楷体_GB2312" w:hAnsi="Times New Roman" w:eastAsia="楷体_GB2312" w:cs="Times New Roman"/>
          <w:sz w:val="32"/>
          <w:szCs w:val="32"/>
          <w:lang w:val="en-US" w:eastAsia="zh-CN"/>
        </w:rPr>
        <w:t>二</w:t>
      </w:r>
      <w:r>
        <w:rPr>
          <w:rFonts w:ascii="楷体_GB2312" w:hAnsi="Times New Roman" w:eastAsia="楷体_GB2312" w:cs="Times New Roman"/>
          <w:sz w:val="32"/>
          <w:szCs w:val="32"/>
        </w:rPr>
        <w:t>）支付流程及节点</w:t>
      </w:r>
    </w:p>
    <w:p w14:paraId="2A67B66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月度进度款支付：</w:t>
      </w:r>
    </w:p>
    <w:p w14:paraId="0C251235">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（1）乙方需于每月25日前，将该月度所供货物的送货小票、供货清单等相关资料报送甲方。</w:t>
      </w:r>
    </w:p>
    <w:p w14:paraId="22CC348C">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（2）甲方在收到资料后5个工作日内完成核对，确定月度实际结算金额（</w:t>
      </w:r>
      <w:r>
        <w:rPr>
          <w:rFonts w:hint="eastAsia" w:ascii="Times New Roman" w:hAnsi="Times New Roman" w:eastAsia="仿宋_GB2312" w:cs="Times New Roman"/>
          <w:sz w:val="32"/>
          <w:szCs w:val="32"/>
          <w:lang w:val="en-US" w:eastAsia="zh-CN"/>
        </w:rPr>
        <w:t>需</w:t>
      </w:r>
      <w:r>
        <w:rPr>
          <w:rFonts w:ascii="Times New Roman" w:hAnsi="Times New Roman" w:eastAsia="仿宋_GB2312" w:cs="Times New Roman"/>
          <w:sz w:val="32"/>
          <w:szCs w:val="32"/>
        </w:rPr>
        <w:t>扣除组织协调费）。</w:t>
      </w:r>
    </w:p>
    <w:p w14:paraId="32736602">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（3）甲方于次月（即资料报送当月的下一个自然月）向乙方支付该月度实际结算金额</w:t>
      </w:r>
      <w:r>
        <w:rPr>
          <w:rFonts w:hint="eastAsia" w:ascii="Times New Roman" w:hAnsi="Times New Roman" w:eastAsia="方正仿宋简体" w:cs="Times New Roman"/>
          <w:sz w:val="32"/>
          <w:szCs w:val="32"/>
          <w:lang w:val="en-US" w:eastAsia="zh-CN"/>
        </w:rPr>
        <w:t>（需扣除组织协调费）</w:t>
      </w:r>
      <w:r>
        <w:rPr>
          <w:rFonts w:ascii="Times New Roman" w:hAnsi="Times New Roman" w:eastAsia="仿宋_GB2312" w:cs="Times New Roman"/>
          <w:sz w:val="32"/>
          <w:szCs w:val="32"/>
        </w:rPr>
        <w:t>的60%。</w:t>
      </w:r>
    </w:p>
    <w:p w14:paraId="2F6FCAB1">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供货完成后进度款支付：</w:t>
      </w:r>
    </w:p>
    <w:p w14:paraId="41F2F6B9">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（1）乙方完成全部供货义务后，需向甲方提交完整的供货总结资料（包括总供货清单、结算凭证等）。</w:t>
      </w:r>
    </w:p>
    <w:p w14:paraId="1D9F1921">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（2）甲方核对确认后，在供货完成后的60日内，向乙方支付至累计结算金额（已扣除组织协调费）的80%。</w:t>
      </w:r>
    </w:p>
    <w:p w14:paraId="6453C2C9">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竣工结算款支付：</w:t>
      </w:r>
    </w:p>
    <w:p w14:paraId="3ECEEE26">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（1）本项目竣工验收合格后，甲方与采购人完成最终结算。</w:t>
      </w:r>
    </w:p>
    <w:p w14:paraId="68017643">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（2）甲方在项目竣工后1年内，向乙方支付至最终结算总金额（已扣除组织协调费及</w:t>
      </w:r>
      <w:r>
        <w:rPr>
          <w:rFonts w:hint="eastAsia" w:ascii="Times New Roman" w:hAnsi="Times New Roman" w:eastAsia="仿宋_GB2312" w:cs="Times New Roman"/>
          <w:sz w:val="32"/>
          <w:szCs w:val="32"/>
          <w:lang w:val="en-US" w:eastAsia="zh-CN"/>
        </w:rPr>
        <w:t>其他</w:t>
      </w:r>
      <w:r>
        <w:rPr>
          <w:rFonts w:ascii="Times New Roman" w:hAnsi="Times New Roman" w:eastAsia="仿宋_GB2312" w:cs="Times New Roman"/>
          <w:sz w:val="32"/>
          <w:szCs w:val="32"/>
        </w:rPr>
        <w:t>应扣款项）的100%。</w:t>
      </w:r>
    </w:p>
    <w:p w14:paraId="6940582B">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其他支付约定：</w:t>
      </w:r>
    </w:p>
    <w:p w14:paraId="01AEECC6">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commentRangeStart w:id="2"/>
      <w:commentRangeStart w:id="3"/>
      <w:r>
        <w:rPr>
          <w:rFonts w:ascii="Times New Roman" w:hAnsi="Times New Roman" w:eastAsia="仿宋_GB2312" w:cs="Times New Roman"/>
          <w:sz w:val="32"/>
          <w:szCs w:val="32"/>
        </w:rPr>
        <w:t>上述各节点支付均需以采购人按主合同约定向甲方支付对应款项为前提，若采购人未按时支付，甲方支付期限相应顺延（顺延时间与采购人逾期支付时间一致），不承担逾期付款责任。</w:t>
      </w:r>
      <w:commentRangeEnd w:id="2"/>
      <w:r>
        <w:commentReference w:id="2"/>
      </w:r>
      <w:commentRangeEnd w:id="3"/>
      <w:r>
        <w:commentReference w:id="3"/>
      </w:r>
    </w:p>
    <w:p w14:paraId="3C002D04">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（2）乙方应在甲方支付前提供对应金额的合法有效发票，否则甲方有权顺延支付，不承担逾期付款责任。</w:t>
      </w:r>
    </w:p>
    <w:p w14:paraId="7D73D69F">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（3）应扣款项包括但不限于因乙方违约产生的赔偿金、采购人扣减款项等，甲方有权在各支付节点直接抵扣。</w:t>
      </w:r>
    </w:p>
    <w:p w14:paraId="5D1DA0D3">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十</w:t>
      </w:r>
      <w:r>
        <w:rPr>
          <w:rFonts w:ascii="黑体" w:hAnsi="黑体" w:eastAsia="黑体" w:cs="Times New Roman"/>
          <w:sz w:val="32"/>
          <w:szCs w:val="32"/>
        </w:rPr>
        <w:t>、合作期限</w:t>
      </w:r>
    </w:p>
    <w:p w14:paraId="7D3599B8">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自本协议签订之日起，至本项目缺陷责任期结束且所有款项回收完毕之日止。</w:t>
      </w:r>
    </w:p>
    <w:p w14:paraId="755177EE">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val="en-US" w:eastAsia="zh-CN"/>
        </w:rPr>
        <w:t>十一</w:t>
      </w:r>
      <w:r>
        <w:rPr>
          <w:rFonts w:ascii="黑体" w:hAnsi="黑体" w:eastAsia="黑体" w:cs="Times New Roman"/>
          <w:sz w:val="32"/>
          <w:szCs w:val="32"/>
        </w:rPr>
        <w:t>、权利义务</w:t>
      </w:r>
    </w:p>
    <w:p w14:paraId="7A653C88">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联合体各方共同对采购人承担连带责任。若因一方违约导致采购人索赔，另一方承担责任后，有权向违约方追偿。​</w:t>
      </w:r>
    </w:p>
    <w:p w14:paraId="22C542D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甲方有权要求乙方履行供货义务及缴纳组织协调费，有权对乙方供货过程进行必要监督。</w:t>
      </w:r>
    </w:p>
    <w:p w14:paraId="3D57AE57">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乙方有权要求甲方按约定支付货款，有权要求甲方履行组织协调职责。</w:t>
      </w:r>
    </w:p>
    <w:p w14:paraId="2F8663A5">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联合体各方应保守合作过程中知悉的对方商业秘密。</w:t>
      </w:r>
    </w:p>
    <w:p w14:paraId="4E4C6C24">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val="en-US" w:eastAsia="zh-CN"/>
        </w:rPr>
        <w:t>十二</w:t>
      </w:r>
      <w:r>
        <w:rPr>
          <w:rFonts w:ascii="黑体" w:hAnsi="黑体" w:eastAsia="黑体" w:cs="Times New Roman"/>
          <w:sz w:val="32"/>
          <w:szCs w:val="32"/>
        </w:rPr>
        <w:t>、违约责任</w:t>
      </w:r>
    </w:p>
    <w:p w14:paraId="51885C3A">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若乙方未按约定供货（包括数量、质量、时间等不符合要求），或因乙方原因导致采购人扣减款项、索赔的，乙方应承担全部损失，甲方有权从应付货款中直接抵扣</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并因此赔偿给甲方及相关单位造成的所有损失</w:t>
      </w:r>
      <w:r>
        <w:rPr>
          <w:rFonts w:ascii="Times New Roman" w:hAnsi="Times New Roman" w:eastAsia="仿宋_GB2312" w:cs="Times New Roman"/>
          <w:sz w:val="32"/>
          <w:szCs w:val="32"/>
        </w:rPr>
        <w:t>。</w:t>
      </w:r>
    </w:p>
    <w:p w14:paraId="62F691DC">
      <w:pPr>
        <w:spacing w:line="570" w:lineRule="exact"/>
        <w:ind w:firstLine="640" w:firstLineChars="200"/>
        <w:rPr>
          <w:rFonts w:hint="default" w:eastAsia="仿宋_GB2312"/>
          <w:lang w:val="en-US"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若乙方未配合采购人抽检，或出现亏方等问题导致结算金额减少的，相关损失由</w:t>
      </w:r>
      <w:r>
        <w:rPr>
          <w:rFonts w:hint="eastAsia" w:ascii="Times New Roman" w:hAnsi="Times New Roman" w:eastAsia="仿宋_GB2312" w:cs="Times New Roman"/>
          <w:sz w:val="32"/>
          <w:szCs w:val="32"/>
          <w:lang w:val="en-US" w:eastAsia="zh-CN"/>
        </w:rPr>
        <w:t>乙方</w:t>
      </w:r>
      <w:r>
        <w:rPr>
          <w:rFonts w:ascii="Times New Roman" w:hAnsi="Times New Roman" w:eastAsia="仿宋_GB2312" w:cs="Times New Roman"/>
          <w:sz w:val="32"/>
          <w:szCs w:val="32"/>
        </w:rPr>
        <w:t>承担。</w:t>
      </w:r>
    </w:p>
    <w:p w14:paraId="799CEB9E">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w:t>
      </w:r>
      <w:r>
        <w:rPr>
          <w:rFonts w:hint="eastAsia" w:ascii="Times New Roman" w:hAnsi="Times New Roman" w:eastAsia="方正仿宋简体" w:cs="Times New Roman"/>
          <w:sz w:val="32"/>
          <w:szCs w:val="32"/>
          <w:lang w:val="en-US" w:eastAsia="zh-CN"/>
        </w:rPr>
        <w:t>任何一方违反本协议其他约定，给对方造成损失的，应赔偿对方直接损失，同时承担对方因维护自身权益而产生的诉讼费、保全费、保全保险费、律师费、差旅费等</w:t>
      </w:r>
      <w:r>
        <w:rPr>
          <w:rFonts w:ascii="Times New Roman" w:hAnsi="Times New Roman" w:eastAsia="仿宋_GB2312" w:cs="Times New Roman"/>
          <w:sz w:val="32"/>
          <w:szCs w:val="32"/>
        </w:rPr>
        <w:t>。</w:t>
      </w:r>
    </w:p>
    <w:p w14:paraId="090B081D">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val="en-US" w:eastAsia="zh-CN"/>
        </w:rPr>
        <w:t>十三</w:t>
      </w:r>
      <w:r>
        <w:rPr>
          <w:rFonts w:ascii="黑体" w:hAnsi="黑体" w:eastAsia="黑体" w:cs="Times New Roman"/>
          <w:sz w:val="32"/>
          <w:szCs w:val="32"/>
        </w:rPr>
        <w:t>、争议解决</w:t>
      </w:r>
    </w:p>
    <w:p w14:paraId="0921CA2D">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因本协议引起的或与本协议有关的争议，双方应首先协商解决；协商不成的，任何一方均有权向甲方所在地有管辖权的人民法院提起诉讼。</w:t>
      </w:r>
    </w:p>
    <w:p w14:paraId="3E9313F8">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val="en-US" w:eastAsia="zh-CN"/>
        </w:rPr>
        <w:t>四</w:t>
      </w:r>
      <w:r>
        <w:rPr>
          <w:rFonts w:ascii="黑体" w:hAnsi="黑体" w:eastAsia="黑体" w:cs="Times New Roman"/>
          <w:sz w:val="32"/>
          <w:szCs w:val="32"/>
        </w:rPr>
        <w:t>、其他</w:t>
      </w:r>
    </w:p>
    <w:p w14:paraId="233E8FD4">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本协议未尽事宜，由双方另行协商签订补充协议，补充协议与本协议具有同等法律效力。</w:t>
      </w:r>
    </w:p>
    <w:p w14:paraId="2E3039B3">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本协议附件（包括组织协调费系数确认函等）为本协议不可分割的组成部分，与本协议具有同等法律效力。</w:t>
      </w:r>
    </w:p>
    <w:p w14:paraId="023A1420">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本协议自</w:t>
      </w:r>
      <w:r>
        <w:rPr>
          <w:rFonts w:hint="eastAsia" w:ascii="Times New Roman" w:hAnsi="Times New Roman" w:eastAsia="仿宋_GB2312" w:cs="Times New Roman"/>
          <w:sz w:val="32"/>
          <w:szCs w:val="32"/>
          <w:lang w:val="en-US" w:eastAsia="zh-CN"/>
        </w:rPr>
        <w:t>成立</w:t>
      </w:r>
      <w:r>
        <w:rPr>
          <w:rFonts w:ascii="Times New Roman" w:hAnsi="Times New Roman" w:eastAsia="仿宋_GB2312" w:cs="Times New Roman"/>
          <w:sz w:val="32"/>
          <w:szCs w:val="32"/>
        </w:rPr>
        <w:t>之日起生效。</w:t>
      </w:r>
    </w:p>
    <w:p w14:paraId="391FF42B">
      <w:pPr>
        <w:spacing w:line="57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本协议一式</w:t>
      </w:r>
      <w:r>
        <w:rPr>
          <w:rFonts w:hint="eastAsia" w:ascii="Times New Roman" w:hAnsi="Times New Roman" w:eastAsia="仿宋_GB2312" w:cs="Times New Roman"/>
          <w:sz w:val="32"/>
          <w:szCs w:val="32"/>
          <w:lang w:val="en-US" w:eastAsia="zh-CN"/>
        </w:rPr>
        <w:t>伍</w:t>
      </w:r>
      <w:r>
        <w:rPr>
          <w:rFonts w:ascii="Times New Roman" w:hAnsi="Times New Roman" w:eastAsia="仿宋_GB2312" w:cs="Times New Roman"/>
          <w:sz w:val="32"/>
          <w:szCs w:val="32"/>
        </w:rPr>
        <w:t>份，甲方叁份，乙方执贰份，具有同等法律效力。</w:t>
      </w:r>
    </w:p>
    <w:p w14:paraId="423C7B2B">
      <w:pPr>
        <w:spacing w:line="570" w:lineRule="exact"/>
        <w:ind w:firstLine="640" w:firstLineChars="200"/>
        <w:rPr>
          <w:rFonts w:hint="eastAsia" w:ascii="Times New Roman" w:hAnsi="Times New Roman" w:eastAsia="仿宋_GB2312" w:cs="Times New Roman"/>
          <w:sz w:val="32"/>
          <w:szCs w:val="32"/>
        </w:rPr>
      </w:pPr>
    </w:p>
    <w:p w14:paraId="403218C2">
      <w:pPr>
        <w:spacing w:line="570" w:lineRule="exact"/>
        <w:ind w:firstLine="640" w:firstLineChars="200"/>
        <w:rPr>
          <w:rFonts w:hint="eastAsia" w:ascii="Times New Roman" w:hAnsi="Times New Roman" w:eastAsia="仿宋_GB2312" w:cs="Times New Roman"/>
          <w:sz w:val="32"/>
          <w:szCs w:val="32"/>
        </w:rPr>
      </w:pPr>
    </w:p>
    <w:p w14:paraId="5C71D77B">
      <w:pPr>
        <w:spacing w:line="570" w:lineRule="exact"/>
        <w:ind w:firstLine="640" w:firstLineChars="200"/>
        <w:rPr>
          <w:rFonts w:hint="eastAsia" w:ascii="Times New Roman" w:hAnsi="Times New Roman" w:eastAsia="仿宋_GB2312" w:cs="Times New Roman"/>
          <w:sz w:val="32"/>
          <w:szCs w:val="32"/>
        </w:rPr>
      </w:pPr>
    </w:p>
    <w:p w14:paraId="6F3539EF">
      <w:pPr>
        <w:pStyle w:val="2"/>
        <w:rPr>
          <w:rFonts w:hint="eastAsia" w:ascii="Times New Roman" w:hAnsi="Times New Roman" w:eastAsia="仿宋_GB2312" w:cs="Times New Roman"/>
          <w:sz w:val="32"/>
          <w:szCs w:val="32"/>
        </w:rPr>
      </w:pPr>
    </w:p>
    <w:p w14:paraId="57318C4C">
      <w:pPr>
        <w:rPr>
          <w:rFonts w:hint="eastAsia" w:ascii="Times New Roman" w:hAnsi="Times New Roman" w:eastAsia="仿宋_GB2312" w:cs="Times New Roman"/>
          <w:sz w:val="32"/>
          <w:szCs w:val="32"/>
        </w:rPr>
      </w:pPr>
    </w:p>
    <w:p w14:paraId="5E6F00DD">
      <w:pPr>
        <w:pStyle w:val="2"/>
        <w:rPr>
          <w:rFonts w:hint="eastAsia" w:ascii="Times New Roman" w:hAnsi="Times New Roman" w:eastAsia="仿宋_GB2312" w:cs="Times New Roman"/>
          <w:sz w:val="32"/>
          <w:szCs w:val="32"/>
        </w:rPr>
      </w:pPr>
    </w:p>
    <w:p w14:paraId="2A1B9350">
      <w:pPr>
        <w:rPr>
          <w:rFonts w:hint="eastAsia" w:ascii="Times New Roman" w:hAnsi="Times New Roman" w:eastAsia="仿宋_GB2312" w:cs="Times New Roman"/>
          <w:sz w:val="32"/>
          <w:szCs w:val="32"/>
        </w:rPr>
      </w:pPr>
    </w:p>
    <w:p w14:paraId="39FD551A">
      <w:pPr>
        <w:pStyle w:val="2"/>
        <w:rPr>
          <w:rFonts w:hint="eastAsia" w:ascii="Times New Roman" w:hAnsi="Times New Roman" w:eastAsia="仿宋_GB2312" w:cs="Times New Roman"/>
          <w:sz w:val="32"/>
          <w:szCs w:val="32"/>
        </w:rPr>
      </w:pPr>
    </w:p>
    <w:p w14:paraId="7E7796CD">
      <w:pPr>
        <w:rPr>
          <w:rFonts w:hint="eastAsia" w:ascii="Times New Roman" w:hAnsi="Times New Roman" w:eastAsia="仿宋_GB2312" w:cs="Times New Roman"/>
          <w:sz w:val="32"/>
          <w:szCs w:val="32"/>
        </w:rPr>
      </w:pPr>
    </w:p>
    <w:p w14:paraId="3176DAC1">
      <w:pPr>
        <w:pStyle w:val="2"/>
        <w:rPr>
          <w:rFonts w:hint="eastAsia" w:ascii="Times New Roman" w:hAnsi="Times New Roman" w:eastAsia="仿宋_GB2312" w:cs="Times New Roman"/>
          <w:sz w:val="32"/>
          <w:szCs w:val="32"/>
        </w:rPr>
      </w:pPr>
    </w:p>
    <w:p w14:paraId="1A7506F4">
      <w:pPr>
        <w:rPr>
          <w:rFonts w:hint="eastAsia" w:ascii="Times New Roman" w:hAnsi="Times New Roman" w:eastAsia="仿宋_GB2312" w:cs="Times New Roman"/>
          <w:sz w:val="32"/>
          <w:szCs w:val="32"/>
        </w:rPr>
      </w:pPr>
    </w:p>
    <w:p w14:paraId="2B146CF7">
      <w:pPr>
        <w:pStyle w:val="2"/>
        <w:rPr>
          <w:rFonts w:hint="eastAsia"/>
        </w:rPr>
      </w:pPr>
    </w:p>
    <w:p w14:paraId="07867B49">
      <w:pPr>
        <w:spacing w:line="570" w:lineRule="exact"/>
        <w:ind w:firstLine="640" w:firstLineChars="200"/>
        <w:rPr>
          <w:rFonts w:hint="eastAsia" w:ascii="Times New Roman" w:hAnsi="Times New Roman" w:eastAsia="仿宋_GB2312" w:cs="Times New Roman"/>
          <w:sz w:val="32"/>
          <w:szCs w:val="32"/>
        </w:rPr>
      </w:pPr>
    </w:p>
    <w:p w14:paraId="460D0DE0">
      <w:pPr>
        <w:spacing w:line="570" w:lineRule="exact"/>
        <w:ind w:firstLine="640" w:firstLineChars="200"/>
        <w:rPr>
          <w:rFonts w:hint="eastAsia" w:ascii="Times New Roman" w:hAnsi="Times New Roman" w:eastAsia="仿宋_GB2312" w:cs="Times New Roman"/>
          <w:sz w:val="32"/>
          <w:szCs w:val="32"/>
        </w:rPr>
      </w:pPr>
    </w:p>
    <w:p w14:paraId="6FB4EA5F">
      <w:pPr>
        <w:spacing w:line="570" w:lineRule="exact"/>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rPr>
        <w:t>（本页为该协议签署页）</w:t>
      </w:r>
    </w:p>
    <w:p w14:paraId="66853B1A">
      <w:pPr>
        <w:spacing w:line="570" w:lineRule="exact"/>
        <w:rPr>
          <w:rFonts w:hint="eastAsia" w:ascii="Times New Roman" w:hAnsi="Times New Roman" w:eastAsia="仿宋_GB2312" w:cs="Times New Roman"/>
          <w:sz w:val="32"/>
          <w:szCs w:val="32"/>
        </w:rPr>
      </w:pPr>
    </w:p>
    <w:p w14:paraId="1288C64F">
      <w:pPr>
        <w:spacing w:line="570" w:lineRule="exact"/>
        <w:rPr>
          <w:rFonts w:ascii="Times New Roman" w:hAnsi="Times New Roman" w:eastAsia="仿宋_GB2312" w:cs="Times New Roman"/>
          <w:sz w:val="32"/>
          <w:szCs w:val="32"/>
        </w:rPr>
      </w:pPr>
    </w:p>
    <w:p w14:paraId="22D8793F">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甲方（盖章）：</w:t>
      </w:r>
    </w:p>
    <w:p w14:paraId="5E68D443">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 / 授权代表人（签字）：</w:t>
      </w:r>
    </w:p>
    <w:p w14:paraId="3DBD8EB1">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日期： 年 月 日</w:t>
      </w:r>
    </w:p>
    <w:p w14:paraId="30E0E803">
      <w:pPr>
        <w:spacing w:line="570" w:lineRule="exact"/>
        <w:rPr>
          <w:rFonts w:ascii="Times New Roman" w:hAnsi="Times New Roman" w:eastAsia="仿宋_GB2312" w:cs="Times New Roman"/>
          <w:sz w:val="32"/>
          <w:szCs w:val="32"/>
        </w:rPr>
      </w:pPr>
    </w:p>
    <w:p w14:paraId="3908C68F">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乙方（盖章）：</w:t>
      </w:r>
    </w:p>
    <w:p w14:paraId="42FE92B6">
      <w:pPr>
        <w:spacing w:line="57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法定代表人 / 授权代表人（签字）：</w:t>
      </w:r>
    </w:p>
    <w:p w14:paraId="7B0B6BD6">
      <w:pPr>
        <w:spacing w:line="570" w:lineRule="exac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日期： 年 月 日</w:t>
      </w:r>
    </w:p>
    <w:p w14:paraId="726951E7">
      <w:pPr>
        <w:spacing w:line="570" w:lineRule="exact"/>
        <w:rPr>
          <w:rFonts w:ascii="Times New Roman" w:hAnsi="Times New Roman" w:eastAsia="仿宋_GB2312" w:cs="Times New Roman"/>
          <w:sz w:val="32"/>
          <w:szCs w:val="32"/>
        </w:rPr>
      </w:pPr>
    </w:p>
    <w:p w14:paraId="48B56AA7">
      <w:pPr>
        <w:spacing w:line="570" w:lineRule="exact"/>
        <w:rPr>
          <w:szCs w:val="32"/>
        </w:rPr>
      </w:pPr>
    </w:p>
    <w:sectPr>
      <w:pgSz w:w="11906" w:h="16838"/>
      <w:pgMar w:top="2098" w:right="1474" w:bottom="1985" w:left="1588"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6:03:45Z" w:initials="">
    <w:p w14:paraId="59C4A373">
      <w:pPr>
        <w:pStyle w:val="3"/>
      </w:pPr>
      <w:r>
        <w:rPr>
          <w:rFonts w:hint="eastAsia"/>
          <w:lang w:val="en-US" w:eastAsia="zh-CN"/>
        </w:rPr>
        <w:t>本项目什么内容的投标？建议明确</w:t>
      </w:r>
    </w:p>
  </w:comment>
  <w:comment w:id="1" w:author="Zeng-HCLS" w:date="2026-07-17T16:04:57Z" w:initials="">
    <w:p w14:paraId="6B86CEA4">
      <w:pPr>
        <w:pStyle w:val="3"/>
      </w:pPr>
      <w:r>
        <w:rPr>
          <w:rFonts w:hint="eastAsia"/>
          <w:lang w:val="en-US" w:eastAsia="zh-CN"/>
        </w:rPr>
        <w:t>该约定与公告中的最终报价不一致。</w:t>
      </w:r>
    </w:p>
  </w:comment>
  <w:comment w:id="2" w:author="Zeng-HCLS" w:date="2026-07-17T16:05:13Z" w:initials="">
    <w:p w14:paraId="658DB3E4">
      <w:pPr>
        <w:pStyle w:val="3"/>
      </w:pPr>
      <w:r>
        <w:rPr>
          <w:rFonts w:hint="eastAsia"/>
          <w:lang w:val="en-US" w:eastAsia="zh-CN"/>
        </w:rPr>
        <w:t>该约定有被认定属于背靠背条款的法律风险。</w:t>
      </w:r>
    </w:p>
  </w:comment>
  <w:comment w:id="3" w:author="云慕长风" w:date="2026-07-17T16:38:17Z" w:initials="">
    <w:p w14:paraId="24A4CA9B">
      <w:pPr>
        <w:pStyle w:val="3"/>
        <w:rPr>
          <w:rFonts w:hint="eastAsia" w:eastAsiaTheme="minorEastAsia"/>
          <w:lang w:val="en-US" w:eastAsia="zh-CN"/>
        </w:rPr>
      </w:pPr>
      <w:r>
        <w:rPr>
          <w:rFonts w:hint="eastAsia"/>
          <w:lang w:val="en-US" w:eastAsia="zh-CN"/>
        </w:rPr>
        <w:t>暂不修改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C4A373" w15:done="0"/>
  <w15:commentEx w15:paraId="6B86CEA4" w15:done="0"/>
  <w15:commentEx w15:paraId="658DB3E4" w15:done="0"/>
  <w15:commentEx w15:paraId="24A4CA9B" w15:done="0" w15:paraIdParent="658DB3E4"/>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A75"/>
    <w:rsid w:val="000D0F70"/>
    <w:rsid w:val="001D6CC1"/>
    <w:rsid w:val="00402EAC"/>
    <w:rsid w:val="00451B08"/>
    <w:rsid w:val="004C6B83"/>
    <w:rsid w:val="00553E01"/>
    <w:rsid w:val="0068473A"/>
    <w:rsid w:val="00734A75"/>
    <w:rsid w:val="008C42D6"/>
    <w:rsid w:val="008F7471"/>
    <w:rsid w:val="009F27EE"/>
    <w:rsid w:val="00B75966"/>
    <w:rsid w:val="00B816E8"/>
    <w:rsid w:val="00BA6BC4"/>
    <w:rsid w:val="00CD7543"/>
    <w:rsid w:val="00ED48D9"/>
    <w:rsid w:val="00F76C8E"/>
    <w:rsid w:val="00FA6B31"/>
    <w:rsid w:val="00FC4289"/>
    <w:rsid w:val="00FF55BD"/>
    <w:rsid w:val="07FE2B6F"/>
    <w:rsid w:val="08601134"/>
    <w:rsid w:val="0949606C"/>
    <w:rsid w:val="0A157C6C"/>
    <w:rsid w:val="0BC67500"/>
    <w:rsid w:val="0C300E1D"/>
    <w:rsid w:val="0C57284E"/>
    <w:rsid w:val="109127D2"/>
    <w:rsid w:val="14302302"/>
    <w:rsid w:val="144D4C62"/>
    <w:rsid w:val="146A0716"/>
    <w:rsid w:val="14B22D17"/>
    <w:rsid w:val="15181037"/>
    <w:rsid w:val="160E1B5C"/>
    <w:rsid w:val="18221F62"/>
    <w:rsid w:val="18F71640"/>
    <w:rsid w:val="1D3A579A"/>
    <w:rsid w:val="1F7A08D5"/>
    <w:rsid w:val="259A582D"/>
    <w:rsid w:val="25FD5DBC"/>
    <w:rsid w:val="27075144"/>
    <w:rsid w:val="280D0539"/>
    <w:rsid w:val="2939535D"/>
    <w:rsid w:val="2B797C93"/>
    <w:rsid w:val="2D12039F"/>
    <w:rsid w:val="2EAB4607"/>
    <w:rsid w:val="2F452CAE"/>
    <w:rsid w:val="305A0D1C"/>
    <w:rsid w:val="31AD68E8"/>
    <w:rsid w:val="32F42048"/>
    <w:rsid w:val="33136C1F"/>
    <w:rsid w:val="34DF500B"/>
    <w:rsid w:val="357C0AAC"/>
    <w:rsid w:val="3592207D"/>
    <w:rsid w:val="388F6D48"/>
    <w:rsid w:val="3ADD1FEC"/>
    <w:rsid w:val="3B1A3241"/>
    <w:rsid w:val="3B714E2B"/>
    <w:rsid w:val="3E774506"/>
    <w:rsid w:val="3EC314F9"/>
    <w:rsid w:val="401E7279"/>
    <w:rsid w:val="43960ACF"/>
    <w:rsid w:val="46B02CAB"/>
    <w:rsid w:val="46EB5102"/>
    <w:rsid w:val="4908259E"/>
    <w:rsid w:val="499C12C5"/>
    <w:rsid w:val="49CA4084"/>
    <w:rsid w:val="4ACA6FFD"/>
    <w:rsid w:val="4F0E056F"/>
    <w:rsid w:val="50BB0282"/>
    <w:rsid w:val="51267634"/>
    <w:rsid w:val="53310CD0"/>
    <w:rsid w:val="5429409D"/>
    <w:rsid w:val="549E0B9F"/>
    <w:rsid w:val="59103135"/>
    <w:rsid w:val="5B5E63DA"/>
    <w:rsid w:val="5CBF734C"/>
    <w:rsid w:val="5D885990"/>
    <w:rsid w:val="5E960581"/>
    <w:rsid w:val="5F265461"/>
    <w:rsid w:val="62307D37"/>
    <w:rsid w:val="645760BC"/>
    <w:rsid w:val="65031DA0"/>
    <w:rsid w:val="65AB2B63"/>
    <w:rsid w:val="667C4500"/>
    <w:rsid w:val="6B8C33C0"/>
    <w:rsid w:val="6BA238DB"/>
    <w:rsid w:val="6DCF760B"/>
    <w:rsid w:val="6DE54739"/>
    <w:rsid w:val="74421E7B"/>
    <w:rsid w:val="74A90781"/>
    <w:rsid w:val="74E41BEE"/>
    <w:rsid w:val="795804B5"/>
    <w:rsid w:val="79F93A46"/>
    <w:rsid w:val="7B641393"/>
    <w:rsid w:val="7E4234E1"/>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semiHidden/>
    <w:unhideWhenUsed/>
    <w:qFormat/>
    <w:uiPriority w:val="99"/>
    <w:pPr>
      <w:jc w:val="left"/>
    </w:p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lb"/>
    <w:basedOn w:val="7"/>
    <w:qFormat/>
    <w:uiPriority w:val="0"/>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3065</Words>
  <Characters>3120</Characters>
  <Lines>21</Lines>
  <Paragraphs>6</Paragraphs>
  <TotalTime>0</TotalTime>
  <ScaleCrop>false</ScaleCrop>
  <LinksUpToDate>false</LinksUpToDate>
  <CharactersWithSpaces>3146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云慕长风</cp:lastModifiedBy>
  <cp:lastPrinted>2025-08-01T07:36:00Z</cp:lastPrinted>
  <dcterms:modified xsi:type="dcterms:W3CDTF">2026-07-17T12:48:49Z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eyJoZGlkIjoiMmRkYTJjZWU3YWMxYzU5MjdkY2FmMjY5NjhhMWY0NDUiLCJ1c2VySWQiOiIyOTM0ODczMTMifQ==</vt:lpwstr>
  </property>
  <property fmtid="{D5CDD505-2E9C-101B-9397-08002B2CF9AE}" pid="3" name="KSOProductBuildVer">
    <vt:lpwstr>2052-12.1.0.26895</vt:lpwstr>
  </property>
  <property fmtid="{D5CDD505-2E9C-101B-9397-08002B2CF9AE}" pid="4" name="ICV">
    <vt:lpwstr>CC1EB23A9A224560A95D88E754339B8A_13</vt:lpwstr>
  </property>
</Properties>
</file>