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FD25F">
      <w:pPr>
        <w:jc w:val="center"/>
        <w:rPr>
          <w:rFonts w:ascii="仿宋" w:hAnsi="仿宋" w:eastAsia="仿宋" w:cs="仿宋"/>
          <w:sz w:val="32"/>
          <w:szCs w:val="32"/>
        </w:rPr>
      </w:pPr>
      <w:bookmarkStart w:id="3" w:name="_GoBack"/>
      <w:bookmarkEnd w:id="3"/>
      <w:r>
        <w:rPr>
          <w:rFonts w:hint="eastAsia" w:ascii="仿宋" w:hAnsi="仿宋" w:eastAsia="仿宋" w:cs="仿宋"/>
          <w:sz w:val="32"/>
          <w:szCs w:val="32"/>
        </w:rPr>
        <w:t xml:space="preserve">          </w:t>
      </w:r>
      <w:r>
        <w:rPr>
          <w:rFonts w:hint="eastAsia" w:ascii="方正小标宋简体" w:hAnsi="方正小标宋简体" w:eastAsia="方正小标宋简体" w:cs="方正小标宋简体"/>
          <w:sz w:val="32"/>
          <w:szCs w:val="32"/>
        </w:rPr>
        <w:t>合同编号：</w:t>
      </w:r>
    </w:p>
    <w:p w14:paraId="18F0A224">
      <w:pPr>
        <w:pStyle w:val="2"/>
        <w:rPr>
          <w:rFonts w:ascii="仿宋" w:hAnsi="仿宋" w:eastAsia="仿宋" w:cs="仿宋"/>
          <w:sz w:val="32"/>
          <w:szCs w:val="32"/>
        </w:rPr>
      </w:pPr>
    </w:p>
    <w:p w14:paraId="5792A74C">
      <w:pPr>
        <w:jc w:val="center"/>
        <w:rPr>
          <w:rFonts w:ascii="宋体" w:hAnsi="宋体" w:cs="宋体"/>
          <w:sz w:val="44"/>
          <w:szCs w:val="44"/>
          <w:u w:val="single"/>
        </w:rPr>
      </w:pPr>
    </w:p>
    <w:p w14:paraId="04A52019">
      <w:pPr>
        <w:jc w:val="center"/>
        <w:rPr>
          <w:rFonts w:ascii="宋体" w:hAnsi="宋体" w:cs="宋体"/>
          <w:sz w:val="44"/>
          <w:szCs w:val="44"/>
          <w:u w:val="single"/>
        </w:rPr>
      </w:pPr>
    </w:p>
    <w:p w14:paraId="23CFB0D7">
      <w:pPr>
        <w:jc w:val="center"/>
        <w:rPr>
          <w:rFonts w:ascii="仿宋" w:hAnsi="仿宋" w:eastAsia="仿宋" w:cs="仿宋"/>
          <w:sz w:val="32"/>
          <w:szCs w:val="32"/>
        </w:rPr>
      </w:pPr>
      <w:r>
        <w:rPr>
          <w:rFonts w:hint="eastAsia" w:ascii="宋体" w:hAnsi="宋体" w:cs="宋体"/>
          <w:sz w:val="44"/>
          <w:szCs w:val="44"/>
          <w:u w:val="single"/>
        </w:rPr>
        <w:t>建筑钢筋采购合同</w:t>
      </w:r>
    </w:p>
    <w:p w14:paraId="09D2AD8F">
      <w:pPr>
        <w:pStyle w:val="2"/>
        <w:rPr>
          <w:rFonts w:ascii="仿宋" w:hAnsi="仿宋" w:eastAsia="仿宋" w:cs="仿宋"/>
          <w:sz w:val="32"/>
          <w:szCs w:val="32"/>
        </w:rPr>
      </w:pPr>
    </w:p>
    <w:p w14:paraId="60E4CAA4">
      <w:pPr>
        <w:rPr>
          <w:rFonts w:ascii="仿宋" w:hAnsi="仿宋" w:eastAsia="仿宋" w:cs="仿宋"/>
          <w:sz w:val="32"/>
          <w:szCs w:val="32"/>
        </w:rPr>
      </w:pPr>
    </w:p>
    <w:p w14:paraId="7B4ECB71">
      <w:pPr>
        <w:pStyle w:val="2"/>
        <w:rPr>
          <w:rFonts w:ascii="仿宋" w:hAnsi="仿宋" w:eastAsia="仿宋" w:cs="仿宋"/>
          <w:sz w:val="32"/>
          <w:szCs w:val="32"/>
        </w:rPr>
      </w:pPr>
    </w:p>
    <w:p w14:paraId="46A8841F"/>
    <w:p w14:paraId="3E48682C">
      <w:pPr>
        <w:pStyle w:val="2"/>
      </w:pPr>
    </w:p>
    <w:p w14:paraId="71BEE407"/>
    <w:p w14:paraId="52053561">
      <w:pPr>
        <w:pStyle w:val="2"/>
      </w:pPr>
    </w:p>
    <w:p w14:paraId="296F1A39">
      <w:pPr>
        <w:pStyle w:val="8"/>
        <w:ind w:firstLine="240"/>
      </w:pPr>
    </w:p>
    <w:p w14:paraId="7E7CEED9"/>
    <w:p w14:paraId="429864D9">
      <w:pPr>
        <w:pStyle w:val="2"/>
      </w:pPr>
    </w:p>
    <w:p w14:paraId="4EC942E2">
      <w:pPr>
        <w:jc w:val="center"/>
        <w:rPr>
          <w:rFonts w:ascii="方正小标宋简体" w:hAnsi="方正小标宋简体" w:eastAsia="方正小标宋简体" w:cs="方正小标宋简体"/>
          <w:sz w:val="32"/>
          <w:szCs w:val="32"/>
        </w:rPr>
      </w:pPr>
      <w:r>
        <w:rPr>
          <w:rFonts w:hint="eastAsia" w:ascii="宋体" w:hAnsi="宋体" w:cs="宋体"/>
          <w:sz w:val="28"/>
          <w:szCs w:val="28"/>
        </w:rPr>
        <w:t>签订日期：    年    月    日</w:t>
      </w:r>
    </w:p>
    <w:p w14:paraId="2C59ED4B">
      <w:pPr>
        <w:rPr>
          <w:rFonts w:ascii="宋体" w:hAnsi="宋体" w:cs="宋体"/>
          <w:sz w:val="28"/>
          <w:szCs w:val="28"/>
        </w:rPr>
        <w:sectPr>
          <w:pgSz w:w="11910" w:h="16840"/>
          <w:pgMar w:top="1417" w:right="1735" w:bottom="1134" w:left="1786" w:header="0" w:footer="0" w:gutter="0"/>
          <w:cols w:space="720" w:num="1"/>
        </w:sectPr>
      </w:pPr>
    </w:p>
    <w:p w14:paraId="6209D403">
      <w:pPr>
        <w:kinsoku w:val="0"/>
        <w:autoSpaceDE w:val="0"/>
        <w:autoSpaceDN w:val="0"/>
        <w:adjustRightInd w:val="0"/>
        <w:snapToGrid w:val="0"/>
        <w:jc w:val="center"/>
        <w:textAlignment w:val="baseline"/>
        <w:rPr>
          <w:rFonts w:asciiTheme="minorEastAsia" w:hAnsiTheme="minorEastAsia" w:eastAsiaTheme="minorEastAsia" w:cstheme="minorEastAsia"/>
          <w:snapToGrid w:val="0"/>
          <w:w w:val="95"/>
          <w:kern w:val="0"/>
          <w:sz w:val="28"/>
          <w:szCs w:val="28"/>
        </w:rPr>
      </w:pPr>
      <w:r>
        <w:rPr>
          <w:rFonts w:hint="eastAsia" w:asciiTheme="minorEastAsia" w:hAnsiTheme="minorEastAsia" w:eastAsiaTheme="minorEastAsia" w:cstheme="minorEastAsia"/>
          <w:b/>
          <w:bCs/>
          <w:snapToGrid w:val="0"/>
          <w:spacing w:val="2"/>
          <w:w w:val="90"/>
          <w:kern w:val="0"/>
          <w:sz w:val="28"/>
          <w:szCs w:val="28"/>
        </w:rPr>
        <w:t>建筑钢筋采购合同</w:t>
      </w:r>
    </w:p>
    <w:p w14:paraId="2F9AD16B">
      <w:pPr>
        <w:widowControl/>
        <w:kinsoku w:val="0"/>
        <w:autoSpaceDE w:val="0"/>
        <w:autoSpaceDN w:val="0"/>
        <w:adjustRightInd w:val="0"/>
        <w:snapToGrid w:val="0"/>
        <w:spacing w:line="360" w:lineRule="auto"/>
        <w:jc w:val="left"/>
        <w:textAlignment w:val="baseline"/>
        <w:rPr>
          <w:rFonts w:ascii="Arial" w:hAnsi="Arial" w:eastAsia="Arial" w:cs="Arial"/>
          <w:snapToGrid w:val="0"/>
          <w:kern w:val="0"/>
          <w:szCs w:val="21"/>
        </w:rPr>
      </w:pPr>
    </w:p>
    <w:p w14:paraId="5CE2A289">
      <w:pPr>
        <w:spacing w:line="500" w:lineRule="exact"/>
        <w:ind w:firstLine="420" w:firstLineChars="200"/>
        <w:jc w:val="left"/>
        <w:rPr>
          <w:rFonts w:ascii="宋体" w:hAnsi="宋体" w:cs="宋体"/>
          <w:kern w:val="0"/>
          <w:szCs w:val="21"/>
        </w:rPr>
      </w:pPr>
      <w:r>
        <w:rPr>
          <w:rFonts w:hint="eastAsia" w:ascii="宋体" w:hAnsi="宋体" w:cs="宋体"/>
          <w:kern w:val="0"/>
          <w:szCs w:val="21"/>
        </w:rPr>
        <w:t xml:space="preserve">甲方 </w:t>
      </w:r>
      <w:r>
        <w:rPr>
          <w:rFonts w:ascii="宋体" w:hAnsi="宋体" w:cs="宋体"/>
          <w:kern w:val="0"/>
          <w:szCs w:val="21"/>
        </w:rPr>
        <w:t>：</w:t>
      </w:r>
      <w:r>
        <w:rPr>
          <w:rFonts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ascii="宋体" w:hAnsi="宋体" w:cs="宋体"/>
          <w:kern w:val="0"/>
          <w:szCs w:val="21"/>
          <w:u w:val="single"/>
        </w:rPr>
        <w:t xml:space="preserve"> </w:t>
      </w:r>
      <w:r>
        <w:rPr>
          <w:rFonts w:ascii="宋体" w:hAnsi="宋体" w:cs="宋体"/>
          <w:kern w:val="0"/>
          <w:szCs w:val="21"/>
        </w:rPr>
        <w:t xml:space="preserve">  </w:t>
      </w:r>
    </w:p>
    <w:p w14:paraId="125268CE">
      <w:pPr>
        <w:spacing w:line="500" w:lineRule="exact"/>
        <w:ind w:firstLine="420" w:firstLineChars="200"/>
        <w:jc w:val="left"/>
        <w:rPr>
          <w:rFonts w:hint="default" w:ascii="宋体" w:hAnsi="宋体" w:eastAsia="宋体" w:cs="宋体"/>
          <w:kern w:val="0"/>
          <w:szCs w:val="21"/>
          <w:u w:val="single"/>
          <w:lang w:val="en-US" w:eastAsia="zh-CN"/>
        </w:rPr>
      </w:pPr>
      <w:r>
        <w:rPr>
          <w:rFonts w:hint="eastAsia" w:ascii="宋体" w:hAnsi="宋体" w:cs="宋体"/>
          <w:kern w:val="0"/>
          <w:szCs w:val="21"/>
        </w:rPr>
        <w:t>乙方</w:t>
      </w:r>
      <w:r>
        <w:rPr>
          <w:rFonts w:ascii="宋体" w:hAnsi="宋体" w:cs="宋体"/>
          <w:kern w:val="0"/>
          <w:szCs w:val="21"/>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p>
    <w:p w14:paraId="196B6636">
      <w:pPr>
        <w:spacing w:line="500" w:lineRule="exact"/>
        <w:ind w:firstLine="420" w:firstLineChars="200"/>
        <w:jc w:val="left"/>
        <w:rPr>
          <w:rFonts w:ascii="宋体" w:hAnsi="宋体" w:cs="宋体"/>
          <w:kern w:val="0"/>
          <w:szCs w:val="21"/>
        </w:rPr>
      </w:pPr>
      <w:r>
        <w:rPr>
          <w:rFonts w:ascii="宋体" w:hAnsi="宋体" w:cs="宋体"/>
          <w:kern w:val="0"/>
          <w:szCs w:val="21"/>
        </w:rPr>
        <w:t>依照《中华人民共和国民法典》及其它有关法律、行政法规，甲、乙双方遵循平等、自愿、公平、诚信和互利的原则，经充分协商，就甲方所需</w:t>
      </w:r>
      <w:r>
        <w:rPr>
          <w:rFonts w:ascii="宋体" w:hAnsi="宋体" w:cs="宋体"/>
          <w:kern w:val="0"/>
          <w:szCs w:val="21"/>
          <w:u w:val="single"/>
        </w:rPr>
        <w:t xml:space="preserve"> </w:t>
      </w:r>
      <w:r>
        <w:rPr>
          <w:rFonts w:hint="eastAsia" w:ascii="宋体" w:hAnsi="宋体" w:cs="宋体"/>
          <w:kern w:val="0"/>
          <w:szCs w:val="21"/>
          <w:u w:val="single"/>
        </w:rPr>
        <w:t xml:space="preserve">钢筋 </w:t>
      </w:r>
      <w:r>
        <w:rPr>
          <w:rFonts w:ascii="宋体" w:hAnsi="宋体" w:cs="宋体"/>
          <w:kern w:val="0"/>
          <w:szCs w:val="21"/>
        </w:rPr>
        <w:t>采购事宜，签订本合同，以资共同信守执行。</w:t>
      </w:r>
    </w:p>
    <w:p w14:paraId="537DE7BB">
      <w:pPr>
        <w:kinsoku w:val="0"/>
        <w:adjustRightInd w:val="0"/>
        <w:snapToGrid w:val="0"/>
        <w:spacing w:before="48" w:line="500" w:lineRule="exact"/>
        <w:ind w:left="578"/>
        <w:jc w:val="left"/>
        <w:textAlignment w:val="baseline"/>
        <w:outlineLvl w:val="0"/>
        <w:rPr>
          <w:rFonts w:ascii="仿宋" w:hAnsi="仿宋" w:eastAsia="仿宋" w:cs="仿宋"/>
          <w:snapToGrid w:val="0"/>
          <w:kern w:val="0"/>
          <w:sz w:val="25"/>
          <w:szCs w:val="25"/>
        </w:rPr>
      </w:pPr>
      <w:r>
        <w:rPr>
          <w:rFonts w:ascii="仿宋" w:hAnsi="仿宋" w:eastAsia="仿宋" w:cs="仿宋"/>
          <w:b/>
          <w:bCs/>
          <w:snapToGrid w:val="0"/>
          <w:spacing w:val="-26"/>
          <w:kern w:val="0"/>
          <w:sz w:val="25"/>
          <w:szCs w:val="25"/>
          <w:lang w:eastAsia="en-US"/>
        </w:rPr>
        <w:t>一</w:t>
      </w:r>
      <w:r>
        <w:rPr>
          <w:rFonts w:ascii="仿宋" w:hAnsi="仿宋" w:eastAsia="仿宋" w:cs="仿宋"/>
          <w:snapToGrid w:val="0"/>
          <w:spacing w:val="-37"/>
          <w:kern w:val="0"/>
          <w:sz w:val="25"/>
          <w:szCs w:val="25"/>
          <w:lang w:eastAsia="en-US"/>
        </w:rPr>
        <w:t xml:space="preserve"> </w:t>
      </w:r>
      <w:r>
        <w:rPr>
          <w:rFonts w:ascii="仿宋" w:hAnsi="仿宋" w:eastAsia="仿宋" w:cs="仿宋"/>
          <w:b/>
          <w:bCs/>
          <w:snapToGrid w:val="0"/>
          <w:spacing w:val="-26"/>
          <w:kern w:val="0"/>
          <w:sz w:val="25"/>
          <w:szCs w:val="25"/>
          <w:lang w:eastAsia="en-US"/>
        </w:rPr>
        <w:t>、货物</w:t>
      </w:r>
      <w:r>
        <w:rPr>
          <w:rFonts w:hint="eastAsia" w:ascii="仿宋" w:hAnsi="仿宋" w:eastAsia="仿宋" w:cs="仿宋"/>
          <w:b/>
          <w:bCs/>
          <w:snapToGrid w:val="0"/>
          <w:spacing w:val="-26"/>
          <w:kern w:val="0"/>
          <w:sz w:val="25"/>
          <w:szCs w:val="25"/>
        </w:rPr>
        <w:t>品种</w:t>
      </w:r>
    </w:p>
    <w:p w14:paraId="79412412">
      <w:pPr>
        <w:widowControl/>
        <w:numPr>
          <w:ilvl w:val="0"/>
          <w:numId w:val="1"/>
        </w:numPr>
        <w:kinsoku w:val="0"/>
        <w:adjustRightInd w:val="0"/>
        <w:snapToGrid w:val="0"/>
        <w:spacing w:before="77" w:line="540" w:lineRule="exact"/>
        <w:ind w:left="604"/>
        <w:jc w:val="left"/>
        <w:textAlignment w:val="baseline"/>
        <w:rPr>
          <w:rFonts w:ascii="宋体" w:hAnsi="宋体" w:cs="宋体"/>
          <w:snapToGrid w:val="0"/>
          <w:kern w:val="0"/>
          <w:sz w:val="24"/>
        </w:rPr>
      </w:pPr>
      <w:r>
        <w:rPr>
          <w:rFonts w:ascii="宋体" w:hAnsi="宋体" w:cs="宋体"/>
          <w:snapToGrid w:val="0"/>
          <w:kern w:val="0"/>
          <w:sz w:val="24"/>
        </w:rPr>
        <w:t>货物的名称、规格、生产厂家等详见下表。</w:t>
      </w:r>
    </w:p>
    <w:tbl>
      <w:tblPr>
        <w:tblStyle w:val="10"/>
        <w:tblW w:w="9104" w:type="dxa"/>
        <w:tblInd w:w="-2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0"/>
        <w:gridCol w:w="1713"/>
        <w:gridCol w:w="1080"/>
        <w:gridCol w:w="1080"/>
        <w:gridCol w:w="1080"/>
        <w:gridCol w:w="1080"/>
        <w:gridCol w:w="1536"/>
        <w:gridCol w:w="785"/>
      </w:tblGrid>
      <w:tr w14:paraId="5E0B2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75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888E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序号</w:t>
            </w:r>
          </w:p>
        </w:tc>
        <w:tc>
          <w:tcPr>
            <w:tcW w:w="1713" w:type="dxa"/>
            <w:vMerge w:val="restart"/>
            <w:tcBorders>
              <w:top w:val="single" w:color="000000" w:sz="8" w:space="0"/>
              <w:left w:val="nil"/>
              <w:bottom w:val="single" w:color="000000" w:sz="8" w:space="0"/>
              <w:right w:val="single" w:color="000000" w:sz="8" w:space="0"/>
            </w:tcBorders>
            <w:shd w:val="clear" w:color="auto" w:fill="auto"/>
            <w:vAlign w:val="center"/>
          </w:tcPr>
          <w:p w14:paraId="0A6887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材料名称</w:t>
            </w:r>
          </w:p>
        </w:tc>
        <w:tc>
          <w:tcPr>
            <w:tcW w:w="1080" w:type="dxa"/>
            <w:vMerge w:val="restart"/>
            <w:tcBorders>
              <w:top w:val="single" w:color="000000" w:sz="8" w:space="0"/>
              <w:left w:val="nil"/>
              <w:bottom w:val="single" w:color="000000" w:sz="8" w:space="0"/>
              <w:right w:val="single" w:color="000000" w:sz="8" w:space="0"/>
            </w:tcBorders>
            <w:shd w:val="clear" w:color="auto" w:fill="auto"/>
            <w:vAlign w:val="center"/>
          </w:tcPr>
          <w:p w14:paraId="620B2F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规格、型号</w:t>
            </w:r>
          </w:p>
        </w:tc>
        <w:tc>
          <w:tcPr>
            <w:tcW w:w="1080" w:type="dxa"/>
            <w:vMerge w:val="restart"/>
            <w:tcBorders>
              <w:top w:val="single" w:color="000000" w:sz="8" w:space="0"/>
              <w:left w:val="nil"/>
              <w:bottom w:val="single" w:color="000000" w:sz="8" w:space="0"/>
              <w:right w:val="single" w:color="000000" w:sz="8" w:space="0"/>
            </w:tcBorders>
            <w:shd w:val="clear" w:color="auto" w:fill="auto"/>
            <w:vAlign w:val="center"/>
          </w:tcPr>
          <w:p w14:paraId="7B9590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数量</w:t>
            </w:r>
          </w:p>
        </w:tc>
        <w:tc>
          <w:tcPr>
            <w:tcW w:w="1080" w:type="dxa"/>
            <w:vMerge w:val="restart"/>
            <w:tcBorders>
              <w:top w:val="single" w:color="000000" w:sz="8" w:space="0"/>
              <w:left w:val="nil"/>
              <w:bottom w:val="single" w:color="000000" w:sz="8" w:space="0"/>
              <w:right w:val="single" w:color="000000" w:sz="8" w:space="0"/>
            </w:tcBorders>
            <w:shd w:val="clear" w:color="auto" w:fill="auto"/>
            <w:vAlign w:val="center"/>
          </w:tcPr>
          <w:p w14:paraId="758976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单位</w:t>
            </w:r>
          </w:p>
        </w:tc>
        <w:tc>
          <w:tcPr>
            <w:tcW w:w="1080" w:type="dxa"/>
            <w:vMerge w:val="restart"/>
            <w:tcBorders>
              <w:top w:val="single" w:color="000000" w:sz="8" w:space="0"/>
              <w:left w:val="nil"/>
              <w:bottom w:val="single" w:color="000000" w:sz="8" w:space="0"/>
              <w:right w:val="single" w:color="000000" w:sz="8" w:space="0"/>
            </w:tcBorders>
            <w:shd w:val="clear" w:color="auto" w:fill="auto"/>
            <w:vAlign w:val="center"/>
          </w:tcPr>
          <w:p w14:paraId="5A8F6C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税率（%）</w:t>
            </w:r>
          </w:p>
        </w:tc>
        <w:tc>
          <w:tcPr>
            <w:tcW w:w="1536" w:type="dxa"/>
            <w:tcBorders>
              <w:top w:val="single" w:color="000000" w:sz="8" w:space="0"/>
              <w:left w:val="nil"/>
              <w:bottom w:val="nil"/>
              <w:right w:val="single" w:color="000000" w:sz="8" w:space="0"/>
            </w:tcBorders>
            <w:shd w:val="clear" w:color="auto" w:fill="auto"/>
            <w:vAlign w:val="center"/>
          </w:tcPr>
          <w:p w14:paraId="5E6957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含税单价（以</w:t>
            </w:r>
            <w:r>
              <w:rPr>
                <w:rFonts w:hint="eastAsia" w:ascii="宋体" w:hAnsi="宋体" w:cs="宋体"/>
                <w:color w:val="000000"/>
                <w:kern w:val="0"/>
                <w:sz w:val="20"/>
                <w:u w:val="none"/>
                <w:lang w:bidi="ar"/>
              </w:rPr>
              <w:t>发货当日“我的钢铁网”价格为基准价</w:t>
            </w:r>
          </w:p>
        </w:tc>
        <w:tc>
          <w:tcPr>
            <w:tcW w:w="785" w:type="dxa"/>
            <w:vMerge w:val="restart"/>
            <w:tcBorders>
              <w:top w:val="single" w:color="000000" w:sz="8" w:space="0"/>
              <w:left w:val="nil"/>
              <w:bottom w:val="single" w:color="000000" w:sz="8" w:space="0"/>
              <w:right w:val="single" w:color="000000" w:sz="8" w:space="0"/>
            </w:tcBorders>
            <w:shd w:val="clear" w:color="auto" w:fill="auto"/>
            <w:vAlign w:val="center"/>
          </w:tcPr>
          <w:p w14:paraId="056DC9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备注</w:t>
            </w:r>
          </w:p>
        </w:tc>
      </w:tr>
      <w:tr w14:paraId="54D92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5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904DD9">
            <w:pPr>
              <w:jc w:val="center"/>
              <w:rPr>
                <w:rFonts w:hint="eastAsia" w:ascii="宋体" w:hAnsi="宋体" w:eastAsia="宋体" w:cs="宋体"/>
                <w:i w:val="0"/>
                <w:iCs w:val="0"/>
                <w:color w:val="000000"/>
                <w:sz w:val="20"/>
                <w:szCs w:val="20"/>
                <w:u w:val="none"/>
              </w:rPr>
            </w:pPr>
          </w:p>
        </w:tc>
        <w:tc>
          <w:tcPr>
            <w:tcW w:w="1713" w:type="dxa"/>
            <w:vMerge w:val="continue"/>
            <w:tcBorders>
              <w:top w:val="single" w:color="000000" w:sz="8" w:space="0"/>
              <w:left w:val="nil"/>
              <w:bottom w:val="single" w:color="000000" w:sz="8" w:space="0"/>
              <w:right w:val="single" w:color="000000" w:sz="8" w:space="0"/>
            </w:tcBorders>
            <w:shd w:val="clear" w:color="auto" w:fill="auto"/>
            <w:vAlign w:val="center"/>
          </w:tcPr>
          <w:p w14:paraId="194573D0">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14:paraId="3833B290">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14:paraId="02633998">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14:paraId="6EF750A7">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14:paraId="3E5739AA">
            <w:pPr>
              <w:jc w:val="center"/>
              <w:rPr>
                <w:rFonts w:hint="eastAsia" w:ascii="宋体" w:hAnsi="宋体" w:eastAsia="宋体" w:cs="宋体"/>
                <w:i w:val="0"/>
                <w:iCs w:val="0"/>
                <w:color w:val="000000"/>
                <w:sz w:val="20"/>
                <w:szCs w:val="20"/>
                <w:u w:val="none"/>
              </w:rPr>
            </w:pPr>
          </w:p>
        </w:tc>
        <w:tc>
          <w:tcPr>
            <w:tcW w:w="1536" w:type="dxa"/>
            <w:tcBorders>
              <w:top w:val="nil"/>
              <w:left w:val="nil"/>
              <w:bottom w:val="nil"/>
              <w:right w:val="single" w:color="000000" w:sz="8" w:space="0"/>
            </w:tcBorders>
            <w:shd w:val="clear" w:color="auto" w:fill="auto"/>
            <w:vAlign w:val="center"/>
          </w:tcPr>
          <w:p w14:paraId="737DD2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±浮动价）</w:t>
            </w:r>
          </w:p>
        </w:tc>
        <w:tc>
          <w:tcPr>
            <w:tcW w:w="785" w:type="dxa"/>
            <w:vMerge w:val="continue"/>
            <w:tcBorders>
              <w:top w:val="single" w:color="000000" w:sz="8" w:space="0"/>
              <w:left w:val="nil"/>
              <w:bottom w:val="single" w:color="000000" w:sz="8" w:space="0"/>
              <w:right w:val="single" w:color="000000" w:sz="8" w:space="0"/>
            </w:tcBorders>
            <w:shd w:val="clear" w:color="auto" w:fill="auto"/>
            <w:vAlign w:val="center"/>
          </w:tcPr>
          <w:p w14:paraId="4CDEF6E2">
            <w:pPr>
              <w:jc w:val="center"/>
              <w:rPr>
                <w:rFonts w:hint="eastAsia" w:ascii="宋体" w:hAnsi="宋体" w:eastAsia="宋体" w:cs="宋体"/>
                <w:i w:val="0"/>
                <w:iCs w:val="0"/>
                <w:color w:val="000000"/>
                <w:sz w:val="20"/>
                <w:szCs w:val="20"/>
                <w:u w:val="none"/>
              </w:rPr>
            </w:pPr>
          </w:p>
        </w:tc>
      </w:tr>
      <w:tr w14:paraId="1B325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24D66243">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1</w:t>
            </w:r>
          </w:p>
        </w:tc>
        <w:tc>
          <w:tcPr>
            <w:tcW w:w="1713" w:type="dxa"/>
            <w:tcBorders>
              <w:top w:val="nil"/>
              <w:left w:val="nil"/>
              <w:bottom w:val="single" w:color="000000" w:sz="8" w:space="0"/>
              <w:right w:val="single" w:color="000000" w:sz="8" w:space="0"/>
            </w:tcBorders>
            <w:shd w:val="clear" w:color="auto" w:fill="auto"/>
            <w:vAlign w:val="center"/>
          </w:tcPr>
          <w:p w14:paraId="1BB4A1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HPB300圆钢</w:t>
            </w:r>
          </w:p>
        </w:tc>
        <w:tc>
          <w:tcPr>
            <w:tcW w:w="1080" w:type="dxa"/>
            <w:tcBorders>
              <w:top w:val="nil"/>
              <w:left w:val="nil"/>
              <w:bottom w:val="single" w:color="000000" w:sz="8" w:space="0"/>
              <w:right w:val="single" w:color="000000" w:sz="8" w:space="0"/>
            </w:tcBorders>
            <w:shd w:val="clear" w:color="auto" w:fill="auto"/>
            <w:vAlign w:val="center"/>
          </w:tcPr>
          <w:p w14:paraId="5AD3F6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φ6</w:t>
            </w:r>
          </w:p>
        </w:tc>
        <w:tc>
          <w:tcPr>
            <w:tcW w:w="1080" w:type="dxa"/>
            <w:tcBorders>
              <w:top w:val="nil"/>
              <w:left w:val="nil"/>
              <w:bottom w:val="single" w:color="000000" w:sz="8" w:space="0"/>
              <w:right w:val="single" w:color="000000" w:sz="8" w:space="0"/>
            </w:tcBorders>
            <w:shd w:val="clear" w:color="auto" w:fill="auto"/>
            <w:vAlign w:val="center"/>
          </w:tcPr>
          <w:p w14:paraId="73A816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 xml:space="preserve">176.00 </w:t>
            </w:r>
          </w:p>
        </w:tc>
        <w:tc>
          <w:tcPr>
            <w:tcW w:w="1080" w:type="dxa"/>
            <w:tcBorders>
              <w:top w:val="nil"/>
              <w:left w:val="nil"/>
              <w:bottom w:val="single" w:color="000000" w:sz="8" w:space="0"/>
              <w:right w:val="nil"/>
            </w:tcBorders>
            <w:shd w:val="clear" w:color="auto" w:fill="auto"/>
            <w:vAlign w:val="center"/>
          </w:tcPr>
          <w:p w14:paraId="449DD7C3">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E4495">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2E2C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c>
          <w:tcPr>
            <w:tcW w:w="785" w:type="dxa"/>
            <w:tcBorders>
              <w:top w:val="nil"/>
              <w:left w:val="nil"/>
              <w:bottom w:val="single" w:color="000000" w:sz="8" w:space="0"/>
              <w:right w:val="single" w:color="000000" w:sz="8" w:space="0"/>
            </w:tcBorders>
            <w:shd w:val="clear" w:color="auto" w:fill="auto"/>
            <w:noWrap/>
            <w:vAlign w:val="center"/>
          </w:tcPr>
          <w:p w14:paraId="3B988A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050E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4AB50ECD">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2</w:t>
            </w:r>
          </w:p>
        </w:tc>
        <w:tc>
          <w:tcPr>
            <w:tcW w:w="1713" w:type="dxa"/>
            <w:tcBorders>
              <w:top w:val="nil"/>
              <w:left w:val="nil"/>
              <w:bottom w:val="single" w:color="000000" w:sz="8" w:space="0"/>
              <w:right w:val="single" w:color="000000" w:sz="8" w:space="0"/>
            </w:tcBorders>
            <w:shd w:val="clear" w:color="auto" w:fill="auto"/>
            <w:vAlign w:val="center"/>
          </w:tcPr>
          <w:p w14:paraId="49F034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HPB300圆钢</w:t>
            </w:r>
          </w:p>
        </w:tc>
        <w:tc>
          <w:tcPr>
            <w:tcW w:w="1080" w:type="dxa"/>
            <w:tcBorders>
              <w:top w:val="nil"/>
              <w:left w:val="nil"/>
              <w:bottom w:val="single" w:color="000000" w:sz="8" w:space="0"/>
              <w:right w:val="single" w:color="000000" w:sz="8" w:space="0"/>
            </w:tcBorders>
            <w:shd w:val="clear" w:color="auto" w:fill="auto"/>
            <w:vAlign w:val="center"/>
          </w:tcPr>
          <w:p w14:paraId="4F75B2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φ8-10</w:t>
            </w:r>
          </w:p>
        </w:tc>
        <w:tc>
          <w:tcPr>
            <w:tcW w:w="1080" w:type="dxa"/>
            <w:tcBorders>
              <w:top w:val="nil"/>
              <w:left w:val="nil"/>
              <w:bottom w:val="single" w:color="000000" w:sz="8" w:space="0"/>
              <w:right w:val="single" w:color="000000" w:sz="8" w:space="0"/>
            </w:tcBorders>
            <w:shd w:val="clear" w:color="auto" w:fill="auto"/>
            <w:vAlign w:val="center"/>
          </w:tcPr>
          <w:p w14:paraId="06C328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 xml:space="preserve">846.00 </w:t>
            </w:r>
          </w:p>
        </w:tc>
        <w:tc>
          <w:tcPr>
            <w:tcW w:w="1080" w:type="dxa"/>
            <w:tcBorders>
              <w:top w:val="nil"/>
              <w:left w:val="nil"/>
              <w:bottom w:val="single" w:color="000000" w:sz="8" w:space="0"/>
              <w:right w:val="nil"/>
            </w:tcBorders>
            <w:shd w:val="clear" w:color="auto" w:fill="auto"/>
            <w:vAlign w:val="center"/>
          </w:tcPr>
          <w:p w14:paraId="018D2D6F">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6C0BF">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F3910">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1AECC9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946E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339FFD91">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3</w:t>
            </w:r>
          </w:p>
        </w:tc>
        <w:tc>
          <w:tcPr>
            <w:tcW w:w="1713" w:type="dxa"/>
            <w:tcBorders>
              <w:top w:val="nil"/>
              <w:left w:val="nil"/>
              <w:bottom w:val="single" w:color="000000" w:sz="8" w:space="0"/>
              <w:right w:val="single" w:color="000000" w:sz="8" w:space="0"/>
            </w:tcBorders>
            <w:shd w:val="clear" w:color="auto" w:fill="auto"/>
            <w:vAlign w:val="center"/>
          </w:tcPr>
          <w:p w14:paraId="47D73D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HPB300圆钢</w:t>
            </w:r>
          </w:p>
        </w:tc>
        <w:tc>
          <w:tcPr>
            <w:tcW w:w="1080" w:type="dxa"/>
            <w:tcBorders>
              <w:top w:val="nil"/>
              <w:left w:val="nil"/>
              <w:bottom w:val="single" w:color="000000" w:sz="8" w:space="0"/>
              <w:right w:val="single" w:color="000000" w:sz="8" w:space="0"/>
            </w:tcBorders>
            <w:shd w:val="clear" w:color="auto" w:fill="auto"/>
            <w:vAlign w:val="center"/>
          </w:tcPr>
          <w:p w14:paraId="513A6D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φ12</w:t>
            </w:r>
          </w:p>
        </w:tc>
        <w:tc>
          <w:tcPr>
            <w:tcW w:w="1080" w:type="dxa"/>
            <w:tcBorders>
              <w:top w:val="nil"/>
              <w:left w:val="nil"/>
              <w:bottom w:val="single" w:color="000000" w:sz="8" w:space="0"/>
              <w:right w:val="single" w:color="000000" w:sz="8" w:space="0"/>
            </w:tcBorders>
            <w:shd w:val="clear" w:color="auto" w:fill="auto"/>
            <w:vAlign w:val="center"/>
          </w:tcPr>
          <w:p w14:paraId="30C592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 xml:space="preserve">15.00 </w:t>
            </w:r>
          </w:p>
        </w:tc>
        <w:tc>
          <w:tcPr>
            <w:tcW w:w="1080" w:type="dxa"/>
            <w:tcBorders>
              <w:top w:val="nil"/>
              <w:left w:val="nil"/>
              <w:bottom w:val="single" w:color="000000" w:sz="8" w:space="0"/>
              <w:right w:val="nil"/>
            </w:tcBorders>
            <w:shd w:val="clear" w:color="auto" w:fill="auto"/>
            <w:vAlign w:val="center"/>
          </w:tcPr>
          <w:p w14:paraId="376A0B96">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9B5E6">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FBA86">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13245F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CEF0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60D06D6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4</w:t>
            </w:r>
          </w:p>
        </w:tc>
        <w:tc>
          <w:tcPr>
            <w:tcW w:w="1713" w:type="dxa"/>
            <w:tcBorders>
              <w:top w:val="nil"/>
              <w:left w:val="nil"/>
              <w:bottom w:val="single" w:color="000000" w:sz="8" w:space="0"/>
              <w:right w:val="single" w:color="000000" w:sz="8" w:space="0"/>
            </w:tcBorders>
            <w:shd w:val="clear" w:color="auto" w:fill="auto"/>
            <w:vAlign w:val="center"/>
          </w:tcPr>
          <w:p w14:paraId="36729C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HPB300圆钢</w:t>
            </w:r>
          </w:p>
        </w:tc>
        <w:tc>
          <w:tcPr>
            <w:tcW w:w="1080" w:type="dxa"/>
            <w:tcBorders>
              <w:top w:val="nil"/>
              <w:left w:val="nil"/>
              <w:bottom w:val="single" w:color="000000" w:sz="8" w:space="0"/>
              <w:right w:val="single" w:color="000000" w:sz="8" w:space="0"/>
            </w:tcBorders>
            <w:shd w:val="clear" w:color="auto" w:fill="auto"/>
            <w:vAlign w:val="center"/>
          </w:tcPr>
          <w:p w14:paraId="4081BE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φ14</w:t>
            </w:r>
          </w:p>
        </w:tc>
        <w:tc>
          <w:tcPr>
            <w:tcW w:w="1080" w:type="dxa"/>
            <w:tcBorders>
              <w:top w:val="nil"/>
              <w:left w:val="nil"/>
              <w:bottom w:val="single" w:color="000000" w:sz="8" w:space="0"/>
              <w:right w:val="single" w:color="000000" w:sz="8" w:space="0"/>
            </w:tcBorders>
            <w:shd w:val="clear" w:color="auto" w:fill="auto"/>
            <w:vAlign w:val="center"/>
          </w:tcPr>
          <w:p w14:paraId="01C383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 xml:space="preserve">15.00 </w:t>
            </w:r>
          </w:p>
        </w:tc>
        <w:tc>
          <w:tcPr>
            <w:tcW w:w="1080" w:type="dxa"/>
            <w:tcBorders>
              <w:top w:val="nil"/>
              <w:left w:val="nil"/>
              <w:bottom w:val="single" w:color="000000" w:sz="8" w:space="0"/>
              <w:right w:val="nil"/>
            </w:tcBorders>
            <w:shd w:val="clear" w:color="auto" w:fill="auto"/>
            <w:vAlign w:val="center"/>
          </w:tcPr>
          <w:p w14:paraId="51FE7958">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A2990">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AA5E4">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0643DE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6BE4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3EDA783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5</w:t>
            </w:r>
          </w:p>
        </w:tc>
        <w:tc>
          <w:tcPr>
            <w:tcW w:w="1713" w:type="dxa"/>
            <w:tcBorders>
              <w:top w:val="nil"/>
              <w:left w:val="nil"/>
              <w:bottom w:val="single" w:color="000000" w:sz="8" w:space="0"/>
              <w:right w:val="single" w:color="000000" w:sz="8" w:space="0"/>
            </w:tcBorders>
            <w:shd w:val="clear" w:color="auto" w:fill="auto"/>
            <w:vAlign w:val="center"/>
          </w:tcPr>
          <w:p w14:paraId="01A361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HRB400E盘螺</w:t>
            </w:r>
          </w:p>
        </w:tc>
        <w:tc>
          <w:tcPr>
            <w:tcW w:w="1080" w:type="dxa"/>
            <w:tcBorders>
              <w:top w:val="nil"/>
              <w:left w:val="nil"/>
              <w:bottom w:val="single" w:color="000000" w:sz="8" w:space="0"/>
              <w:right w:val="single" w:color="000000" w:sz="8" w:space="0"/>
            </w:tcBorders>
            <w:shd w:val="clear" w:color="auto" w:fill="auto"/>
            <w:vAlign w:val="center"/>
          </w:tcPr>
          <w:p w14:paraId="7EC8F7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φ6</w:t>
            </w:r>
          </w:p>
        </w:tc>
        <w:tc>
          <w:tcPr>
            <w:tcW w:w="1080" w:type="dxa"/>
            <w:tcBorders>
              <w:top w:val="nil"/>
              <w:left w:val="nil"/>
              <w:bottom w:val="single" w:color="000000" w:sz="8" w:space="0"/>
              <w:right w:val="single" w:color="000000" w:sz="8" w:space="0"/>
            </w:tcBorders>
            <w:shd w:val="clear" w:color="auto" w:fill="auto"/>
            <w:vAlign w:val="center"/>
          </w:tcPr>
          <w:p w14:paraId="268A81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 xml:space="preserve">15.00 </w:t>
            </w:r>
          </w:p>
        </w:tc>
        <w:tc>
          <w:tcPr>
            <w:tcW w:w="1080" w:type="dxa"/>
            <w:tcBorders>
              <w:top w:val="nil"/>
              <w:left w:val="nil"/>
              <w:bottom w:val="single" w:color="000000" w:sz="8" w:space="0"/>
              <w:right w:val="nil"/>
            </w:tcBorders>
            <w:shd w:val="clear" w:color="auto" w:fill="auto"/>
            <w:vAlign w:val="center"/>
          </w:tcPr>
          <w:p w14:paraId="4082ED04">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9AD1E">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72A1D">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2C9F15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ED8E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77DC70DC">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6</w:t>
            </w:r>
          </w:p>
        </w:tc>
        <w:tc>
          <w:tcPr>
            <w:tcW w:w="1713" w:type="dxa"/>
            <w:tcBorders>
              <w:top w:val="nil"/>
              <w:left w:val="nil"/>
              <w:bottom w:val="single" w:color="000000" w:sz="8" w:space="0"/>
              <w:right w:val="single" w:color="000000" w:sz="8" w:space="0"/>
            </w:tcBorders>
            <w:shd w:val="clear" w:color="auto" w:fill="auto"/>
            <w:vAlign w:val="center"/>
          </w:tcPr>
          <w:p w14:paraId="7F93A3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HRB400E盘螺</w:t>
            </w:r>
          </w:p>
        </w:tc>
        <w:tc>
          <w:tcPr>
            <w:tcW w:w="1080" w:type="dxa"/>
            <w:tcBorders>
              <w:top w:val="nil"/>
              <w:left w:val="nil"/>
              <w:bottom w:val="single" w:color="000000" w:sz="8" w:space="0"/>
              <w:right w:val="single" w:color="000000" w:sz="8" w:space="0"/>
            </w:tcBorders>
            <w:shd w:val="clear" w:color="auto" w:fill="auto"/>
            <w:vAlign w:val="center"/>
          </w:tcPr>
          <w:p w14:paraId="13430C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φ8-10</w:t>
            </w:r>
          </w:p>
        </w:tc>
        <w:tc>
          <w:tcPr>
            <w:tcW w:w="1080" w:type="dxa"/>
            <w:tcBorders>
              <w:top w:val="nil"/>
              <w:left w:val="nil"/>
              <w:bottom w:val="single" w:color="000000" w:sz="8" w:space="0"/>
              <w:right w:val="single" w:color="000000" w:sz="8" w:space="0"/>
            </w:tcBorders>
            <w:shd w:val="clear" w:color="auto" w:fill="auto"/>
            <w:vAlign w:val="center"/>
          </w:tcPr>
          <w:p w14:paraId="1CCDE1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 xml:space="preserve">15.00 </w:t>
            </w:r>
          </w:p>
        </w:tc>
        <w:tc>
          <w:tcPr>
            <w:tcW w:w="1080" w:type="dxa"/>
            <w:tcBorders>
              <w:top w:val="nil"/>
              <w:left w:val="nil"/>
              <w:bottom w:val="single" w:color="000000" w:sz="8" w:space="0"/>
              <w:right w:val="nil"/>
            </w:tcBorders>
            <w:shd w:val="clear" w:color="auto" w:fill="auto"/>
            <w:vAlign w:val="center"/>
          </w:tcPr>
          <w:p w14:paraId="18198608">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AC0DD">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4FC62">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03EC47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3C8A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41816F73">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7</w:t>
            </w:r>
          </w:p>
        </w:tc>
        <w:tc>
          <w:tcPr>
            <w:tcW w:w="1713" w:type="dxa"/>
            <w:tcBorders>
              <w:top w:val="nil"/>
              <w:left w:val="nil"/>
              <w:bottom w:val="single" w:color="000000" w:sz="8" w:space="0"/>
              <w:right w:val="single" w:color="000000" w:sz="8" w:space="0"/>
            </w:tcBorders>
            <w:shd w:val="clear" w:color="auto" w:fill="auto"/>
            <w:vAlign w:val="center"/>
          </w:tcPr>
          <w:p w14:paraId="4A8F71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HRB400E盘螺</w:t>
            </w:r>
          </w:p>
        </w:tc>
        <w:tc>
          <w:tcPr>
            <w:tcW w:w="1080" w:type="dxa"/>
            <w:tcBorders>
              <w:top w:val="nil"/>
              <w:left w:val="nil"/>
              <w:bottom w:val="single" w:color="000000" w:sz="8" w:space="0"/>
              <w:right w:val="single" w:color="000000" w:sz="8" w:space="0"/>
            </w:tcBorders>
            <w:shd w:val="clear" w:color="auto" w:fill="auto"/>
            <w:vAlign w:val="center"/>
          </w:tcPr>
          <w:p w14:paraId="27262D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φ12</w:t>
            </w:r>
          </w:p>
        </w:tc>
        <w:tc>
          <w:tcPr>
            <w:tcW w:w="1080" w:type="dxa"/>
            <w:tcBorders>
              <w:top w:val="nil"/>
              <w:left w:val="nil"/>
              <w:bottom w:val="single" w:color="000000" w:sz="8" w:space="0"/>
              <w:right w:val="single" w:color="000000" w:sz="8" w:space="0"/>
            </w:tcBorders>
            <w:shd w:val="clear" w:color="auto" w:fill="auto"/>
            <w:vAlign w:val="center"/>
          </w:tcPr>
          <w:p w14:paraId="7B8220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 xml:space="preserve">15.00 </w:t>
            </w:r>
          </w:p>
        </w:tc>
        <w:tc>
          <w:tcPr>
            <w:tcW w:w="1080" w:type="dxa"/>
            <w:tcBorders>
              <w:top w:val="nil"/>
              <w:left w:val="nil"/>
              <w:bottom w:val="single" w:color="000000" w:sz="8" w:space="0"/>
              <w:right w:val="nil"/>
            </w:tcBorders>
            <w:shd w:val="clear" w:color="auto" w:fill="auto"/>
            <w:vAlign w:val="center"/>
          </w:tcPr>
          <w:p w14:paraId="585D7AC5">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0BC6E">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D52B0">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7B9612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A28F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7DECFE6A">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8</w:t>
            </w:r>
          </w:p>
        </w:tc>
        <w:tc>
          <w:tcPr>
            <w:tcW w:w="1713" w:type="dxa"/>
            <w:tcBorders>
              <w:top w:val="nil"/>
              <w:left w:val="nil"/>
              <w:bottom w:val="single" w:color="000000" w:sz="8" w:space="0"/>
              <w:right w:val="single" w:color="000000" w:sz="8" w:space="0"/>
            </w:tcBorders>
            <w:shd w:val="clear" w:color="auto" w:fill="auto"/>
            <w:vAlign w:val="center"/>
          </w:tcPr>
          <w:p w14:paraId="2E59D9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HRB400E盘螺</w:t>
            </w:r>
          </w:p>
        </w:tc>
        <w:tc>
          <w:tcPr>
            <w:tcW w:w="1080" w:type="dxa"/>
            <w:tcBorders>
              <w:top w:val="nil"/>
              <w:left w:val="nil"/>
              <w:bottom w:val="single" w:color="000000" w:sz="8" w:space="0"/>
              <w:right w:val="single" w:color="000000" w:sz="8" w:space="0"/>
            </w:tcBorders>
            <w:shd w:val="clear" w:color="auto" w:fill="auto"/>
            <w:vAlign w:val="center"/>
          </w:tcPr>
          <w:p w14:paraId="585444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φ14</w:t>
            </w:r>
          </w:p>
        </w:tc>
        <w:tc>
          <w:tcPr>
            <w:tcW w:w="1080" w:type="dxa"/>
            <w:tcBorders>
              <w:top w:val="nil"/>
              <w:left w:val="nil"/>
              <w:bottom w:val="single" w:color="000000" w:sz="8" w:space="0"/>
              <w:right w:val="single" w:color="000000" w:sz="8" w:space="0"/>
            </w:tcBorders>
            <w:shd w:val="clear" w:color="auto" w:fill="auto"/>
            <w:vAlign w:val="center"/>
          </w:tcPr>
          <w:p w14:paraId="05CF2B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 xml:space="preserve">15.00 </w:t>
            </w:r>
          </w:p>
        </w:tc>
        <w:tc>
          <w:tcPr>
            <w:tcW w:w="1080" w:type="dxa"/>
            <w:tcBorders>
              <w:top w:val="nil"/>
              <w:left w:val="nil"/>
              <w:bottom w:val="single" w:color="000000" w:sz="8" w:space="0"/>
              <w:right w:val="nil"/>
            </w:tcBorders>
            <w:shd w:val="clear" w:color="auto" w:fill="auto"/>
            <w:vAlign w:val="center"/>
          </w:tcPr>
          <w:p w14:paraId="4F593866">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D38B5">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D790">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41DAA5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0C83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17146AD1">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9</w:t>
            </w:r>
          </w:p>
        </w:tc>
        <w:tc>
          <w:tcPr>
            <w:tcW w:w="1713" w:type="dxa"/>
            <w:tcBorders>
              <w:top w:val="nil"/>
              <w:left w:val="nil"/>
              <w:bottom w:val="single" w:color="000000" w:sz="8" w:space="0"/>
              <w:right w:val="single" w:color="000000" w:sz="8" w:space="0"/>
            </w:tcBorders>
            <w:shd w:val="clear" w:color="auto" w:fill="auto"/>
            <w:vAlign w:val="center"/>
          </w:tcPr>
          <w:p w14:paraId="21139C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1E2E72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φ8-10</w:t>
            </w:r>
          </w:p>
        </w:tc>
        <w:tc>
          <w:tcPr>
            <w:tcW w:w="1080" w:type="dxa"/>
            <w:tcBorders>
              <w:top w:val="nil"/>
              <w:left w:val="nil"/>
              <w:bottom w:val="single" w:color="000000" w:sz="8" w:space="0"/>
              <w:right w:val="single" w:color="000000" w:sz="8" w:space="0"/>
            </w:tcBorders>
            <w:shd w:val="clear" w:color="auto" w:fill="auto"/>
            <w:vAlign w:val="center"/>
          </w:tcPr>
          <w:p w14:paraId="3A4D8A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 xml:space="preserve">1126.00 </w:t>
            </w:r>
          </w:p>
        </w:tc>
        <w:tc>
          <w:tcPr>
            <w:tcW w:w="1080" w:type="dxa"/>
            <w:tcBorders>
              <w:top w:val="nil"/>
              <w:left w:val="nil"/>
              <w:bottom w:val="single" w:color="000000" w:sz="8" w:space="0"/>
              <w:right w:val="nil"/>
            </w:tcBorders>
            <w:shd w:val="clear" w:color="auto" w:fill="auto"/>
            <w:vAlign w:val="center"/>
          </w:tcPr>
          <w:p w14:paraId="46798CFA">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72BCF">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5E641">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24E568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046BA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5AF124EA">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10</w:t>
            </w:r>
          </w:p>
        </w:tc>
        <w:tc>
          <w:tcPr>
            <w:tcW w:w="1713" w:type="dxa"/>
            <w:tcBorders>
              <w:top w:val="nil"/>
              <w:left w:val="nil"/>
              <w:bottom w:val="single" w:color="000000" w:sz="8" w:space="0"/>
              <w:right w:val="single" w:color="000000" w:sz="8" w:space="0"/>
            </w:tcBorders>
            <w:shd w:val="clear" w:color="auto" w:fill="auto"/>
            <w:vAlign w:val="center"/>
          </w:tcPr>
          <w:p w14:paraId="2DCEC7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7225FF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φ12-14</w:t>
            </w:r>
          </w:p>
        </w:tc>
        <w:tc>
          <w:tcPr>
            <w:tcW w:w="1080" w:type="dxa"/>
            <w:tcBorders>
              <w:top w:val="nil"/>
              <w:left w:val="nil"/>
              <w:bottom w:val="single" w:color="000000" w:sz="8" w:space="0"/>
              <w:right w:val="single" w:color="000000" w:sz="8" w:space="0"/>
            </w:tcBorders>
            <w:shd w:val="clear" w:color="auto" w:fill="auto"/>
            <w:vAlign w:val="center"/>
          </w:tcPr>
          <w:p w14:paraId="39524A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 xml:space="preserve">1930.00 </w:t>
            </w:r>
          </w:p>
        </w:tc>
        <w:tc>
          <w:tcPr>
            <w:tcW w:w="1080" w:type="dxa"/>
            <w:tcBorders>
              <w:top w:val="nil"/>
              <w:left w:val="nil"/>
              <w:bottom w:val="single" w:color="000000" w:sz="8" w:space="0"/>
              <w:right w:val="nil"/>
            </w:tcBorders>
            <w:shd w:val="clear" w:color="auto" w:fill="auto"/>
            <w:vAlign w:val="center"/>
          </w:tcPr>
          <w:p w14:paraId="7834B338">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E8560">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9CE86">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18589D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0B40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027D243C">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11</w:t>
            </w:r>
          </w:p>
        </w:tc>
        <w:tc>
          <w:tcPr>
            <w:tcW w:w="1713" w:type="dxa"/>
            <w:tcBorders>
              <w:top w:val="nil"/>
              <w:left w:val="nil"/>
              <w:bottom w:val="single" w:color="000000" w:sz="8" w:space="0"/>
              <w:right w:val="single" w:color="000000" w:sz="8" w:space="0"/>
            </w:tcBorders>
            <w:shd w:val="clear" w:color="auto" w:fill="auto"/>
            <w:vAlign w:val="center"/>
          </w:tcPr>
          <w:p w14:paraId="44F36F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1E2DAF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φ16</w:t>
            </w:r>
          </w:p>
        </w:tc>
        <w:tc>
          <w:tcPr>
            <w:tcW w:w="1080" w:type="dxa"/>
            <w:tcBorders>
              <w:top w:val="nil"/>
              <w:left w:val="nil"/>
              <w:bottom w:val="single" w:color="000000" w:sz="8" w:space="0"/>
              <w:right w:val="single" w:color="000000" w:sz="8" w:space="0"/>
            </w:tcBorders>
            <w:shd w:val="clear" w:color="auto" w:fill="auto"/>
            <w:vAlign w:val="center"/>
          </w:tcPr>
          <w:p w14:paraId="5101E7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 xml:space="preserve">2535.00 </w:t>
            </w:r>
          </w:p>
        </w:tc>
        <w:tc>
          <w:tcPr>
            <w:tcW w:w="1080" w:type="dxa"/>
            <w:tcBorders>
              <w:top w:val="nil"/>
              <w:left w:val="nil"/>
              <w:bottom w:val="single" w:color="000000" w:sz="8" w:space="0"/>
              <w:right w:val="nil"/>
            </w:tcBorders>
            <w:shd w:val="clear" w:color="auto" w:fill="auto"/>
            <w:vAlign w:val="center"/>
          </w:tcPr>
          <w:p w14:paraId="3A265AF9">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CF583">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C8B87">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6AD2EF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8389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5935D281">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12</w:t>
            </w:r>
          </w:p>
        </w:tc>
        <w:tc>
          <w:tcPr>
            <w:tcW w:w="1713" w:type="dxa"/>
            <w:tcBorders>
              <w:top w:val="nil"/>
              <w:left w:val="nil"/>
              <w:bottom w:val="single" w:color="000000" w:sz="8" w:space="0"/>
              <w:right w:val="single" w:color="000000" w:sz="8" w:space="0"/>
            </w:tcBorders>
            <w:shd w:val="clear" w:color="auto" w:fill="auto"/>
            <w:vAlign w:val="center"/>
          </w:tcPr>
          <w:p w14:paraId="0AF42A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751B9D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φ18</w:t>
            </w:r>
          </w:p>
        </w:tc>
        <w:tc>
          <w:tcPr>
            <w:tcW w:w="1080" w:type="dxa"/>
            <w:tcBorders>
              <w:top w:val="nil"/>
              <w:left w:val="nil"/>
              <w:bottom w:val="single" w:color="000000" w:sz="8" w:space="0"/>
              <w:right w:val="single" w:color="000000" w:sz="8" w:space="0"/>
            </w:tcBorders>
            <w:shd w:val="clear" w:color="auto" w:fill="auto"/>
            <w:vAlign w:val="center"/>
          </w:tcPr>
          <w:p w14:paraId="34A9EC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 xml:space="preserve">655.00 </w:t>
            </w:r>
          </w:p>
        </w:tc>
        <w:tc>
          <w:tcPr>
            <w:tcW w:w="1080" w:type="dxa"/>
            <w:tcBorders>
              <w:top w:val="nil"/>
              <w:left w:val="nil"/>
              <w:bottom w:val="single" w:color="000000" w:sz="8" w:space="0"/>
              <w:right w:val="nil"/>
            </w:tcBorders>
            <w:shd w:val="clear" w:color="auto" w:fill="auto"/>
            <w:vAlign w:val="center"/>
          </w:tcPr>
          <w:p w14:paraId="4C67FC99">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05864">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3414F">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109806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382F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407E15A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13</w:t>
            </w:r>
          </w:p>
        </w:tc>
        <w:tc>
          <w:tcPr>
            <w:tcW w:w="1713" w:type="dxa"/>
            <w:tcBorders>
              <w:top w:val="nil"/>
              <w:left w:val="nil"/>
              <w:bottom w:val="single" w:color="000000" w:sz="8" w:space="0"/>
              <w:right w:val="single" w:color="000000" w:sz="8" w:space="0"/>
            </w:tcBorders>
            <w:shd w:val="clear" w:color="auto" w:fill="auto"/>
            <w:vAlign w:val="center"/>
          </w:tcPr>
          <w:p w14:paraId="20A559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6955CC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φ20</w:t>
            </w:r>
          </w:p>
        </w:tc>
        <w:tc>
          <w:tcPr>
            <w:tcW w:w="1080" w:type="dxa"/>
            <w:tcBorders>
              <w:top w:val="nil"/>
              <w:left w:val="nil"/>
              <w:bottom w:val="single" w:color="000000" w:sz="8" w:space="0"/>
              <w:right w:val="single" w:color="000000" w:sz="8" w:space="0"/>
            </w:tcBorders>
            <w:shd w:val="clear" w:color="auto" w:fill="auto"/>
            <w:vAlign w:val="center"/>
          </w:tcPr>
          <w:p w14:paraId="6B7494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 xml:space="preserve">554.00 </w:t>
            </w:r>
          </w:p>
        </w:tc>
        <w:tc>
          <w:tcPr>
            <w:tcW w:w="1080" w:type="dxa"/>
            <w:tcBorders>
              <w:top w:val="nil"/>
              <w:left w:val="nil"/>
              <w:bottom w:val="single" w:color="000000" w:sz="8" w:space="0"/>
              <w:right w:val="nil"/>
            </w:tcBorders>
            <w:shd w:val="clear" w:color="auto" w:fill="auto"/>
            <w:vAlign w:val="center"/>
          </w:tcPr>
          <w:p w14:paraId="2D5F672B">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C3EDA">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77963">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4F9390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5211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4B5DADF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14</w:t>
            </w:r>
          </w:p>
        </w:tc>
        <w:tc>
          <w:tcPr>
            <w:tcW w:w="1713" w:type="dxa"/>
            <w:tcBorders>
              <w:top w:val="nil"/>
              <w:left w:val="nil"/>
              <w:bottom w:val="single" w:color="000000" w:sz="8" w:space="0"/>
              <w:right w:val="single" w:color="000000" w:sz="8" w:space="0"/>
            </w:tcBorders>
            <w:shd w:val="clear" w:color="auto" w:fill="auto"/>
            <w:vAlign w:val="center"/>
          </w:tcPr>
          <w:p w14:paraId="694D76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6CA66D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φ22</w:t>
            </w:r>
          </w:p>
        </w:tc>
        <w:tc>
          <w:tcPr>
            <w:tcW w:w="1080" w:type="dxa"/>
            <w:tcBorders>
              <w:top w:val="nil"/>
              <w:left w:val="nil"/>
              <w:bottom w:val="single" w:color="000000" w:sz="8" w:space="0"/>
              <w:right w:val="single" w:color="000000" w:sz="8" w:space="0"/>
            </w:tcBorders>
            <w:shd w:val="clear" w:color="auto" w:fill="auto"/>
            <w:vAlign w:val="center"/>
          </w:tcPr>
          <w:p w14:paraId="1122F8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 xml:space="preserve">508.00 </w:t>
            </w:r>
          </w:p>
        </w:tc>
        <w:tc>
          <w:tcPr>
            <w:tcW w:w="1080" w:type="dxa"/>
            <w:tcBorders>
              <w:top w:val="nil"/>
              <w:left w:val="nil"/>
              <w:bottom w:val="single" w:color="000000" w:sz="8" w:space="0"/>
              <w:right w:val="nil"/>
            </w:tcBorders>
            <w:shd w:val="clear" w:color="auto" w:fill="auto"/>
            <w:vAlign w:val="center"/>
          </w:tcPr>
          <w:p w14:paraId="0C284BD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313B0">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10D4E">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1AC2A0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02807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68041D60">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15</w:t>
            </w:r>
          </w:p>
        </w:tc>
        <w:tc>
          <w:tcPr>
            <w:tcW w:w="1713" w:type="dxa"/>
            <w:tcBorders>
              <w:top w:val="nil"/>
              <w:left w:val="nil"/>
              <w:bottom w:val="single" w:color="000000" w:sz="8" w:space="0"/>
              <w:right w:val="single" w:color="000000" w:sz="8" w:space="0"/>
            </w:tcBorders>
            <w:shd w:val="clear" w:color="auto" w:fill="auto"/>
            <w:vAlign w:val="center"/>
          </w:tcPr>
          <w:p w14:paraId="495384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7E739F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φ25</w:t>
            </w:r>
          </w:p>
        </w:tc>
        <w:tc>
          <w:tcPr>
            <w:tcW w:w="1080" w:type="dxa"/>
            <w:tcBorders>
              <w:top w:val="nil"/>
              <w:left w:val="nil"/>
              <w:bottom w:val="single" w:color="000000" w:sz="8" w:space="0"/>
              <w:right w:val="single" w:color="000000" w:sz="8" w:space="0"/>
            </w:tcBorders>
            <w:shd w:val="clear" w:color="auto" w:fill="auto"/>
            <w:vAlign w:val="center"/>
          </w:tcPr>
          <w:p w14:paraId="679F08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 xml:space="preserve">587.00 </w:t>
            </w:r>
          </w:p>
        </w:tc>
        <w:tc>
          <w:tcPr>
            <w:tcW w:w="1080" w:type="dxa"/>
            <w:tcBorders>
              <w:top w:val="nil"/>
              <w:left w:val="nil"/>
              <w:bottom w:val="single" w:color="000000" w:sz="8" w:space="0"/>
              <w:right w:val="nil"/>
            </w:tcBorders>
            <w:shd w:val="clear" w:color="auto" w:fill="auto"/>
            <w:vAlign w:val="center"/>
          </w:tcPr>
          <w:p w14:paraId="0CFB29B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B2683">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C22CA">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4DE5DF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9353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6856C8FD">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16</w:t>
            </w:r>
          </w:p>
        </w:tc>
        <w:tc>
          <w:tcPr>
            <w:tcW w:w="1713" w:type="dxa"/>
            <w:tcBorders>
              <w:top w:val="nil"/>
              <w:left w:val="nil"/>
              <w:bottom w:val="single" w:color="000000" w:sz="8" w:space="0"/>
              <w:right w:val="single" w:color="000000" w:sz="8" w:space="0"/>
            </w:tcBorders>
            <w:shd w:val="clear" w:color="auto" w:fill="auto"/>
            <w:vAlign w:val="center"/>
          </w:tcPr>
          <w:p w14:paraId="52D435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298C09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φ28-32</w:t>
            </w:r>
          </w:p>
        </w:tc>
        <w:tc>
          <w:tcPr>
            <w:tcW w:w="1080" w:type="dxa"/>
            <w:tcBorders>
              <w:top w:val="nil"/>
              <w:left w:val="nil"/>
              <w:bottom w:val="single" w:color="000000" w:sz="8" w:space="0"/>
              <w:right w:val="single" w:color="000000" w:sz="8" w:space="0"/>
            </w:tcBorders>
            <w:shd w:val="clear" w:color="auto" w:fill="auto"/>
            <w:vAlign w:val="center"/>
          </w:tcPr>
          <w:p w14:paraId="47D87D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 xml:space="preserve">15.00 </w:t>
            </w:r>
          </w:p>
        </w:tc>
        <w:tc>
          <w:tcPr>
            <w:tcW w:w="1080" w:type="dxa"/>
            <w:tcBorders>
              <w:top w:val="nil"/>
              <w:left w:val="nil"/>
              <w:bottom w:val="single" w:color="000000" w:sz="8" w:space="0"/>
              <w:right w:val="nil"/>
            </w:tcBorders>
            <w:shd w:val="clear" w:color="auto" w:fill="auto"/>
            <w:vAlign w:val="center"/>
          </w:tcPr>
          <w:p w14:paraId="5CACF2B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C88FA">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4E8C9">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18643D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C18D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nil"/>
              <w:right w:val="single" w:color="000000" w:sz="8" w:space="0"/>
            </w:tcBorders>
            <w:shd w:val="clear" w:color="auto" w:fill="auto"/>
            <w:vAlign w:val="center"/>
          </w:tcPr>
          <w:p w14:paraId="0A2E237C">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17</w:t>
            </w:r>
          </w:p>
        </w:tc>
        <w:tc>
          <w:tcPr>
            <w:tcW w:w="1713" w:type="dxa"/>
            <w:tcBorders>
              <w:top w:val="nil"/>
              <w:left w:val="nil"/>
              <w:bottom w:val="nil"/>
              <w:right w:val="single" w:color="000000" w:sz="8" w:space="0"/>
            </w:tcBorders>
            <w:shd w:val="clear" w:color="auto" w:fill="auto"/>
            <w:vAlign w:val="center"/>
          </w:tcPr>
          <w:p w14:paraId="7C25E9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HRB500E螺纹钢</w:t>
            </w:r>
          </w:p>
        </w:tc>
        <w:tc>
          <w:tcPr>
            <w:tcW w:w="1080" w:type="dxa"/>
            <w:tcBorders>
              <w:top w:val="nil"/>
              <w:left w:val="nil"/>
              <w:bottom w:val="nil"/>
              <w:right w:val="single" w:color="000000" w:sz="8" w:space="0"/>
            </w:tcBorders>
            <w:shd w:val="clear" w:color="auto" w:fill="auto"/>
            <w:vAlign w:val="center"/>
          </w:tcPr>
          <w:p w14:paraId="7D0B0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φ12-14</w:t>
            </w:r>
          </w:p>
        </w:tc>
        <w:tc>
          <w:tcPr>
            <w:tcW w:w="1080" w:type="dxa"/>
            <w:tcBorders>
              <w:top w:val="nil"/>
              <w:left w:val="nil"/>
              <w:bottom w:val="nil"/>
              <w:right w:val="single" w:color="000000" w:sz="8" w:space="0"/>
            </w:tcBorders>
            <w:shd w:val="clear" w:color="auto" w:fill="auto"/>
            <w:vAlign w:val="center"/>
          </w:tcPr>
          <w:p w14:paraId="3BB3C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仿宋" w:cs="Times New Roman"/>
                <w:i w:val="0"/>
                <w:iCs w:val="0"/>
                <w:color w:val="auto"/>
                <w:kern w:val="0"/>
                <w:sz w:val="22"/>
                <w:szCs w:val="22"/>
                <w:u w:val="none"/>
                <w:lang w:val="en-US" w:eastAsia="zh-CN" w:bidi="ar"/>
              </w:rPr>
              <w:t xml:space="preserve">42.00 </w:t>
            </w:r>
          </w:p>
        </w:tc>
        <w:tc>
          <w:tcPr>
            <w:tcW w:w="1080" w:type="dxa"/>
            <w:tcBorders>
              <w:top w:val="nil"/>
              <w:left w:val="nil"/>
              <w:bottom w:val="nil"/>
              <w:right w:val="nil"/>
            </w:tcBorders>
            <w:shd w:val="clear" w:color="auto" w:fill="auto"/>
            <w:vAlign w:val="center"/>
          </w:tcPr>
          <w:p w14:paraId="3208EBF5">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04FDE">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DFAB8">
            <w:pPr>
              <w:jc w:val="center"/>
              <w:rPr>
                <w:rFonts w:hint="eastAsia" w:ascii="宋体" w:hAnsi="宋体" w:eastAsia="宋体" w:cs="宋体"/>
                <w:i w:val="0"/>
                <w:iCs w:val="0"/>
                <w:color w:val="000000"/>
                <w:sz w:val="20"/>
                <w:szCs w:val="20"/>
                <w:u w:val="none"/>
              </w:rPr>
            </w:pPr>
          </w:p>
        </w:tc>
        <w:tc>
          <w:tcPr>
            <w:tcW w:w="785" w:type="dxa"/>
            <w:tcBorders>
              <w:top w:val="nil"/>
              <w:left w:val="nil"/>
              <w:bottom w:val="nil"/>
              <w:right w:val="single" w:color="000000" w:sz="8" w:space="0"/>
            </w:tcBorders>
            <w:shd w:val="clear" w:color="auto" w:fill="auto"/>
            <w:noWrap/>
            <w:vAlign w:val="center"/>
          </w:tcPr>
          <w:p w14:paraId="07BC40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84D4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nil"/>
              <w:right w:val="single" w:color="000000" w:sz="8" w:space="0"/>
            </w:tcBorders>
            <w:shd w:val="clear" w:color="auto" w:fill="auto"/>
            <w:vAlign w:val="center"/>
          </w:tcPr>
          <w:p w14:paraId="26DE2C4A">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default" w:ascii="Times New Roman" w:hAnsi="Times New Roman" w:eastAsia="方正仿宋简体" w:cs="Times New Roman"/>
                <w:color w:val="auto"/>
                <w:kern w:val="0"/>
                <w:sz w:val="21"/>
                <w:szCs w:val="21"/>
                <w:lang w:val="en-US" w:eastAsia="zh-CN" w:bidi="ar"/>
              </w:rPr>
              <w:t>18</w:t>
            </w:r>
          </w:p>
        </w:tc>
        <w:tc>
          <w:tcPr>
            <w:tcW w:w="1713" w:type="dxa"/>
            <w:tcBorders>
              <w:top w:val="nil"/>
              <w:left w:val="nil"/>
              <w:bottom w:val="nil"/>
              <w:right w:val="single" w:color="000000" w:sz="8" w:space="0"/>
            </w:tcBorders>
            <w:shd w:val="clear" w:color="auto" w:fill="auto"/>
            <w:vAlign w:val="center"/>
          </w:tcPr>
          <w:p w14:paraId="5221E0A4">
            <w:pPr>
              <w:keepNext w:val="0"/>
              <w:keepLines w:val="0"/>
              <w:widowControl/>
              <w:suppressLineNumbers w:val="0"/>
              <w:jc w:val="center"/>
              <w:textAlignment w:val="center"/>
              <w:rPr>
                <w:rStyle w:val="15"/>
                <w:lang w:val="en-US" w:eastAsia="zh-CN" w:bidi="ar"/>
              </w:rPr>
            </w:pPr>
            <w:r>
              <w:rPr>
                <w:rFonts w:hint="default" w:ascii="Times New Roman" w:hAnsi="Times New Roman" w:eastAsia="仿宋" w:cs="Times New Roman"/>
                <w:i w:val="0"/>
                <w:iCs w:val="0"/>
                <w:color w:val="auto"/>
                <w:kern w:val="0"/>
                <w:sz w:val="22"/>
                <w:szCs w:val="22"/>
                <w:u w:val="none"/>
                <w:lang w:val="en-US" w:eastAsia="zh-CN" w:bidi="ar"/>
              </w:rPr>
              <w:t>HRB500E螺纹钢</w:t>
            </w:r>
          </w:p>
        </w:tc>
        <w:tc>
          <w:tcPr>
            <w:tcW w:w="1080" w:type="dxa"/>
            <w:tcBorders>
              <w:top w:val="nil"/>
              <w:left w:val="nil"/>
              <w:bottom w:val="nil"/>
              <w:right w:val="single" w:color="000000" w:sz="8" w:space="0"/>
            </w:tcBorders>
            <w:shd w:val="clear" w:color="auto" w:fill="auto"/>
            <w:vAlign w:val="center"/>
          </w:tcPr>
          <w:p w14:paraId="33C47C21">
            <w:pPr>
              <w:keepNext w:val="0"/>
              <w:keepLines w:val="0"/>
              <w:widowControl/>
              <w:suppressLineNumbers w:val="0"/>
              <w:jc w:val="center"/>
              <w:textAlignment w:val="center"/>
              <w:rPr>
                <w:rStyle w:val="15"/>
                <w:lang w:val="en-US" w:eastAsia="zh-CN" w:bidi="ar"/>
              </w:rPr>
            </w:pPr>
            <w:r>
              <w:rPr>
                <w:rFonts w:hint="default" w:ascii="Times New Roman" w:hAnsi="Times New Roman" w:eastAsia="仿宋" w:cs="Times New Roman"/>
                <w:i w:val="0"/>
                <w:iCs w:val="0"/>
                <w:color w:val="auto"/>
                <w:kern w:val="0"/>
                <w:sz w:val="22"/>
                <w:szCs w:val="22"/>
                <w:u w:val="none"/>
                <w:lang w:val="en-US" w:eastAsia="zh-CN" w:bidi="ar"/>
              </w:rPr>
              <w:t>φ16</w:t>
            </w:r>
          </w:p>
        </w:tc>
        <w:tc>
          <w:tcPr>
            <w:tcW w:w="1080" w:type="dxa"/>
            <w:tcBorders>
              <w:top w:val="nil"/>
              <w:left w:val="nil"/>
              <w:bottom w:val="nil"/>
              <w:right w:val="single" w:color="000000" w:sz="8" w:space="0"/>
            </w:tcBorders>
            <w:shd w:val="clear" w:color="auto" w:fill="auto"/>
            <w:vAlign w:val="center"/>
          </w:tcPr>
          <w:p w14:paraId="152DF607">
            <w:pPr>
              <w:keepNext w:val="0"/>
              <w:keepLines w:val="0"/>
              <w:widowControl/>
              <w:suppressLineNumbers w:val="0"/>
              <w:jc w:val="center"/>
              <w:textAlignment w:val="center"/>
              <w:rPr>
                <w:rStyle w:val="15"/>
                <w:lang w:val="en-US" w:eastAsia="zh-CN" w:bidi="ar"/>
              </w:rPr>
            </w:pPr>
            <w:r>
              <w:rPr>
                <w:rFonts w:hint="default" w:ascii="Times New Roman" w:hAnsi="Times New Roman" w:eastAsia="仿宋" w:cs="Times New Roman"/>
                <w:i w:val="0"/>
                <w:iCs w:val="0"/>
                <w:color w:val="auto"/>
                <w:kern w:val="0"/>
                <w:sz w:val="22"/>
                <w:szCs w:val="22"/>
                <w:u w:val="none"/>
                <w:lang w:val="en-US" w:eastAsia="zh-CN" w:bidi="ar"/>
              </w:rPr>
              <w:t xml:space="preserve">97.00 </w:t>
            </w:r>
          </w:p>
        </w:tc>
        <w:tc>
          <w:tcPr>
            <w:tcW w:w="1080" w:type="dxa"/>
            <w:tcBorders>
              <w:top w:val="nil"/>
              <w:left w:val="nil"/>
              <w:bottom w:val="nil"/>
              <w:right w:val="nil"/>
            </w:tcBorders>
            <w:shd w:val="clear" w:color="auto" w:fill="auto"/>
            <w:vAlign w:val="center"/>
          </w:tcPr>
          <w:p w14:paraId="7E5A1399">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372CB">
            <w:pPr>
              <w:jc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B2580">
            <w:pPr>
              <w:jc w:val="center"/>
              <w:rPr>
                <w:rStyle w:val="15"/>
                <w:rFonts w:hint="eastAsia"/>
                <w:lang w:val="en-US" w:eastAsia="zh-CN" w:bidi="ar"/>
              </w:rPr>
            </w:pPr>
          </w:p>
        </w:tc>
        <w:tc>
          <w:tcPr>
            <w:tcW w:w="785" w:type="dxa"/>
            <w:tcBorders>
              <w:top w:val="nil"/>
              <w:left w:val="nil"/>
              <w:bottom w:val="nil"/>
              <w:right w:val="single" w:color="000000" w:sz="8" w:space="0"/>
            </w:tcBorders>
            <w:shd w:val="clear" w:color="auto" w:fill="auto"/>
            <w:noWrap/>
            <w:vAlign w:val="center"/>
          </w:tcPr>
          <w:p w14:paraId="5AF862DE">
            <w:pPr>
              <w:keepNext w:val="0"/>
              <w:keepLines w:val="0"/>
              <w:widowControl/>
              <w:suppressLineNumbers w:val="0"/>
              <w:jc w:val="center"/>
              <w:textAlignment w:val="center"/>
              <w:rPr>
                <w:rStyle w:val="16"/>
                <w:lang w:val="en-US" w:eastAsia="zh-CN" w:bidi="ar"/>
              </w:rPr>
            </w:pPr>
          </w:p>
        </w:tc>
      </w:tr>
      <w:tr w14:paraId="6D855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nil"/>
              <w:right w:val="single" w:color="000000" w:sz="8" w:space="0"/>
            </w:tcBorders>
            <w:shd w:val="clear" w:color="auto" w:fill="auto"/>
            <w:vAlign w:val="center"/>
          </w:tcPr>
          <w:p w14:paraId="24AFEE45">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default" w:ascii="Times New Roman" w:hAnsi="Times New Roman" w:eastAsia="方正仿宋简体" w:cs="Times New Roman"/>
                <w:color w:val="auto"/>
                <w:kern w:val="0"/>
                <w:sz w:val="21"/>
                <w:szCs w:val="21"/>
                <w:lang w:val="en-US" w:eastAsia="zh-CN" w:bidi="ar"/>
              </w:rPr>
              <w:t>19</w:t>
            </w:r>
          </w:p>
        </w:tc>
        <w:tc>
          <w:tcPr>
            <w:tcW w:w="1713" w:type="dxa"/>
            <w:tcBorders>
              <w:top w:val="nil"/>
              <w:left w:val="nil"/>
              <w:bottom w:val="nil"/>
              <w:right w:val="single" w:color="000000" w:sz="8" w:space="0"/>
            </w:tcBorders>
            <w:shd w:val="clear" w:color="auto" w:fill="auto"/>
            <w:vAlign w:val="center"/>
          </w:tcPr>
          <w:p w14:paraId="37A1203E">
            <w:pPr>
              <w:keepNext w:val="0"/>
              <w:keepLines w:val="0"/>
              <w:widowControl/>
              <w:suppressLineNumbers w:val="0"/>
              <w:jc w:val="center"/>
              <w:textAlignment w:val="center"/>
              <w:rPr>
                <w:rStyle w:val="15"/>
                <w:lang w:val="en-US" w:eastAsia="zh-CN" w:bidi="ar"/>
              </w:rPr>
            </w:pPr>
            <w:r>
              <w:rPr>
                <w:rFonts w:hint="default" w:ascii="Times New Roman" w:hAnsi="Times New Roman" w:eastAsia="仿宋" w:cs="Times New Roman"/>
                <w:i w:val="0"/>
                <w:iCs w:val="0"/>
                <w:color w:val="auto"/>
                <w:kern w:val="0"/>
                <w:sz w:val="22"/>
                <w:szCs w:val="22"/>
                <w:u w:val="none"/>
                <w:lang w:val="en-US" w:eastAsia="zh-CN" w:bidi="ar"/>
              </w:rPr>
              <w:t>HRB500E螺纹钢</w:t>
            </w:r>
          </w:p>
        </w:tc>
        <w:tc>
          <w:tcPr>
            <w:tcW w:w="1080" w:type="dxa"/>
            <w:tcBorders>
              <w:top w:val="nil"/>
              <w:left w:val="nil"/>
              <w:bottom w:val="nil"/>
              <w:right w:val="single" w:color="000000" w:sz="8" w:space="0"/>
            </w:tcBorders>
            <w:shd w:val="clear" w:color="auto" w:fill="auto"/>
            <w:vAlign w:val="center"/>
          </w:tcPr>
          <w:p w14:paraId="7ECE7BA1">
            <w:pPr>
              <w:keepNext w:val="0"/>
              <w:keepLines w:val="0"/>
              <w:widowControl/>
              <w:suppressLineNumbers w:val="0"/>
              <w:jc w:val="center"/>
              <w:textAlignment w:val="center"/>
              <w:rPr>
                <w:rStyle w:val="15"/>
                <w:lang w:val="en-US" w:eastAsia="zh-CN" w:bidi="ar"/>
              </w:rPr>
            </w:pPr>
            <w:r>
              <w:rPr>
                <w:rFonts w:hint="default" w:ascii="Times New Roman" w:hAnsi="Times New Roman" w:eastAsia="仿宋" w:cs="Times New Roman"/>
                <w:i w:val="0"/>
                <w:iCs w:val="0"/>
                <w:color w:val="auto"/>
                <w:kern w:val="0"/>
                <w:sz w:val="22"/>
                <w:szCs w:val="22"/>
                <w:u w:val="none"/>
                <w:lang w:val="en-US" w:eastAsia="zh-CN" w:bidi="ar"/>
              </w:rPr>
              <w:t>φ18</w:t>
            </w:r>
          </w:p>
        </w:tc>
        <w:tc>
          <w:tcPr>
            <w:tcW w:w="1080" w:type="dxa"/>
            <w:tcBorders>
              <w:top w:val="nil"/>
              <w:left w:val="nil"/>
              <w:bottom w:val="nil"/>
              <w:right w:val="single" w:color="000000" w:sz="8" w:space="0"/>
            </w:tcBorders>
            <w:shd w:val="clear" w:color="auto" w:fill="auto"/>
            <w:vAlign w:val="center"/>
          </w:tcPr>
          <w:p w14:paraId="56B8735C">
            <w:pPr>
              <w:keepNext w:val="0"/>
              <w:keepLines w:val="0"/>
              <w:widowControl/>
              <w:suppressLineNumbers w:val="0"/>
              <w:jc w:val="center"/>
              <w:textAlignment w:val="center"/>
              <w:rPr>
                <w:rStyle w:val="15"/>
                <w:lang w:val="en-US" w:eastAsia="zh-CN" w:bidi="ar"/>
              </w:rPr>
            </w:pPr>
            <w:r>
              <w:rPr>
                <w:rFonts w:hint="default" w:ascii="Times New Roman" w:hAnsi="Times New Roman" w:eastAsia="仿宋" w:cs="Times New Roman"/>
                <w:i w:val="0"/>
                <w:iCs w:val="0"/>
                <w:color w:val="auto"/>
                <w:kern w:val="0"/>
                <w:sz w:val="22"/>
                <w:szCs w:val="22"/>
                <w:u w:val="none"/>
                <w:lang w:val="en-US" w:eastAsia="zh-CN" w:bidi="ar"/>
              </w:rPr>
              <w:t xml:space="preserve">96.00 </w:t>
            </w:r>
          </w:p>
        </w:tc>
        <w:tc>
          <w:tcPr>
            <w:tcW w:w="1080" w:type="dxa"/>
            <w:tcBorders>
              <w:top w:val="nil"/>
              <w:left w:val="nil"/>
              <w:bottom w:val="nil"/>
              <w:right w:val="nil"/>
            </w:tcBorders>
            <w:shd w:val="clear" w:color="auto" w:fill="auto"/>
            <w:vAlign w:val="center"/>
          </w:tcPr>
          <w:p w14:paraId="34BBB2AB">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2586C">
            <w:pPr>
              <w:jc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AFDF7">
            <w:pPr>
              <w:jc w:val="center"/>
              <w:rPr>
                <w:rStyle w:val="15"/>
                <w:rFonts w:hint="eastAsia"/>
                <w:lang w:val="en-US" w:eastAsia="zh-CN" w:bidi="ar"/>
              </w:rPr>
            </w:pPr>
          </w:p>
        </w:tc>
        <w:tc>
          <w:tcPr>
            <w:tcW w:w="785" w:type="dxa"/>
            <w:tcBorders>
              <w:top w:val="nil"/>
              <w:left w:val="nil"/>
              <w:bottom w:val="nil"/>
              <w:right w:val="single" w:color="000000" w:sz="8" w:space="0"/>
            </w:tcBorders>
            <w:shd w:val="clear" w:color="auto" w:fill="auto"/>
            <w:noWrap/>
            <w:vAlign w:val="center"/>
          </w:tcPr>
          <w:p w14:paraId="52341A8D">
            <w:pPr>
              <w:keepNext w:val="0"/>
              <w:keepLines w:val="0"/>
              <w:widowControl/>
              <w:suppressLineNumbers w:val="0"/>
              <w:jc w:val="center"/>
              <w:textAlignment w:val="center"/>
              <w:rPr>
                <w:rStyle w:val="16"/>
                <w:lang w:val="en-US" w:eastAsia="zh-CN" w:bidi="ar"/>
              </w:rPr>
            </w:pPr>
          </w:p>
        </w:tc>
      </w:tr>
      <w:tr w14:paraId="5FCD7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nil"/>
              <w:right w:val="single" w:color="000000" w:sz="8" w:space="0"/>
            </w:tcBorders>
            <w:shd w:val="clear" w:color="auto" w:fill="auto"/>
            <w:vAlign w:val="center"/>
          </w:tcPr>
          <w:p w14:paraId="7E084DD8">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default" w:ascii="Times New Roman" w:hAnsi="Times New Roman" w:eastAsia="方正仿宋简体" w:cs="Times New Roman"/>
                <w:color w:val="auto"/>
                <w:kern w:val="0"/>
                <w:sz w:val="21"/>
                <w:szCs w:val="21"/>
                <w:lang w:val="en-US" w:eastAsia="zh-CN" w:bidi="ar"/>
              </w:rPr>
              <w:t>20</w:t>
            </w:r>
          </w:p>
        </w:tc>
        <w:tc>
          <w:tcPr>
            <w:tcW w:w="1713" w:type="dxa"/>
            <w:tcBorders>
              <w:top w:val="nil"/>
              <w:left w:val="nil"/>
              <w:bottom w:val="nil"/>
              <w:right w:val="single" w:color="000000" w:sz="8" w:space="0"/>
            </w:tcBorders>
            <w:shd w:val="clear" w:color="auto" w:fill="auto"/>
            <w:vAlign w:val="center"/>
          </w:tcPr>
          <w:p w14:paraId="607ED155">
            <w:pPr>
              <w:keepNext w:val="0"/>
              <w:keepLines w:val="0"/>
              <w:widowControl/>
              <w:suppressLineNumbers w:val="0"/>
              <w:jc w:val="center"/>
              <w:textAlignment w:val="center"/>
              <w:rPr>
                <w:rStyle w:val="15"/>
                <w:lang w:val="en-US" w:eastAsia="zh-CN" w:bidi="ar"/>
              </w:rPr>
            </w:pPr>
            <w:r>
              <w:rPr>
                <w:rFonts w:hint="default" w:ascii="Times New Roman" w:hAnsi="Times New Roman" w:eastAsia="仿宋" w:cs="Times New Roman"/>
                <w:i w:val="0"/>
                <w:iCs w:val="0"/>
                <w:color w:val="auto"/>
                <w:kern w:val="0"/>
                <w:sz w:val="22"/>
                <w:szCs w:val="22"/>
                <w:u w:val="none"/>
                <w:lang w:val="en-US" w:eastAsia="zh-CN" w:bidi="ar"/>
              </w:rPr>
              <w:t>HRB500E螺纹钢</w:t>
            </w:r>
          </w:p>
        </w:tc>
        <w:tc>
          <w:tcPr>
            <w:tcW w:w="1080" w:type="dxa"/>
            <w:tcBorders>
              <w:top w:val="nil"/>
              <w:left w:val="nil"/>
              <w:bottom w:val="nil"/>
              <w:right w:val="single" w:color="000000" w:sz="8" w:space="0"/>
            </w:tcBorders>
            <w:shd w:val="clear" w:color="auto" w:fill="auto"/>
            <w:vAlign w:val="center"/>
          </w:tcPr>
          <w:p w14:paraId="59E4B23F">
            <w:pPr>
              <w:keepNext w:val="0"/>
              <w:keepLines w:val="0"/>
              <w:widowControl/>
              <w:suppressLineNumbers w:val="0"/>
              <w:jc w:val="center"/>
              <w:textAlignment w:val="center"/>
              <w:rPr>
                <w:rStyle w:val="15"/>
                <w:lang w:val="en-US" w:eastAsia="zh-CN" w:bidi="ar"/>
              </w:rPr>
            </w:pPr>
            <w:r>
              <w:rPr>
                <w:rFonts w:hint="default" w:ascii="Times New Roman" w:hAnsi="Times New Roman" w:eastAsia="仿宋" w:cs="Times New Roman"/>
                <w:i w:val="0"/>
                <w:iCs w:val="0"/>
                <w:color w:val="auto"/>
                <w:kern w:val="0"/>
                <w:sz w:val="22"/>
                <w:szCs w:val="22"/>
                <w:u w:val="none"/>
                <w:lang w:val="en-US" w:eastAsia="zh-CN" w:bidi="ar"/>
              </w:rPr>
              <w:t>φ20</w:t>
            </w:r>
          </w:p>
        </w:tc>
        <w:tc>
          <w:tcPr>
            <w:tcW w:w="1080" w:type="dxa"/>
            <w:tcBorders>
              <w:top w:val="nil"/>
              <w:left w:val="nil"/>
              <w:bottom w:val="nil"/>
              <w:right w:val="single" w:color="000000" w:sz="8" w:space="0"/>
            </w:tcBorders>
            <w:shd w:val="clear" w:color="auto" w:fill="auto"/>
            <w:vAlign w:val="center"/>
          </w:tcPr>
          <w:p w14:paraId="743CE75D">
            <w:pPr>
              <w:keepNext w:val="0"/>
              <w:keepLines w:val="0"/>
              <w:widowControl/>
              <w:suppressLineNumbers w:val="0"/>
              <w:jc w:val="center"/>
              <w:textAlignment w:val="center"/>
              <w:rPr>
                <w:rStyle w:val="15"/>
                <w:lang w:val="en-US" w:eastAsia="zh-CN" w:bidi="ar"/>
              </w:rPr>
            </w:pPr>
            <w:r>
              <w:rPr>
                <w:rFonts w:hint="default" w:ascii="Times New Roman" w:hAnsi="Times New Roman" w:eastAsia="仿宋" w:cs="Times New Roman"/>
                <w:i w:val="0"/>
                <w:iCs w:val="0"/>
                <w:color w:val="auto"/>
                <w:kern w:val="0"/>
                <w:sz w:val="22"/>
                <w:szCs w:val="22"/>
                <w:u w:val="none"/>
                <w:lang w:val="en-US" w:eastAsia="zh-CN" w:bidi="ar"/>
              </w:rPr>
              <w:t xml:space="preserve">156.00 </w:t>
            </w:r>
          </w:p>
        </w:tc>
        <w:tc>
          <w:tcPr>
            <w:tcW w:w="1080" w:type="dxa"/>
            <w:tcBorders>
              <w:top w:val="nil"/>
              <w:left w:val="nil"/>
              <w:bottom w:val="nil"/>
              <w:right w:val="nil"/>
            </w:tcBorders>
            <w:shd w:val="clear" w:color="auto" w:fill="auto"/>
            <w:vAlign w:val="center"/>
          </w:tcPr>
          <w:p w14:paraId="287934C7">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2E745">
            <w:pPr>
              <w:jc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DDA58">
            <w:pPr>
              <w:jc w:val="center"/>
              <w:rPr>
                <w:rStyle w:val="15"/>
                <w:rFonts w:hint="eastAsia"/>
                <w:lang w:val="en-US" w:eastAsia="zh-CN" w:bidi="ar"/>
              </w:rPr>
            </w:pPr>
          </w:p>
        </w:tc>
        <w:tc>
          <w:tcPr>
            <w:tcW w:w="785" w:type="dxa"/>
            <w:tcBorders>
              <w:top w:val="nil"/>
              <w:left w:val="nil"/>
              <w:bottom w:val="nil"/>
              <w:right w:val="single" w:color="000000" w:sz="8" w:space="0"/>
            </w:tcBorders>
            <w:shd w:val="clear" w:color="auto" w:fill="auto"/>
            <w:noWrap/>
            <w:vAlign w:val="center"/>
          </w:tcPr>
          <w:p w14:paraId="63300E05">
            <w:pPr>
              <w:keepNext w:val="0"/>
              <w:keepLines w:val="0"/>
              <w:widowControl/>
              <w:suppressLineNumbers w:val="0"/>
              <w:jc w:val="center"/>
              <w:textAlignment w:val="center"/>
              <w:rPr>
                <w:rStyle w:val="16"/>
                <w:lang w:val="en-US" w:eastAsia="zh-CN" w:bidi="ar"/>
              </w:rPr>
            </w:pPr>
          </w:p>
        </w:tc>
      </w:tr>
      <w:tr w14:paraId="0E9D3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nil"/>
              <w:right w:val="single" w:color="000000" w:sz="8" w:space="0"/>
            </w:tcBorders>
            <w:shd w:val="clear" w:color="auto" w:fill="auto"/>
            <w:vAlign w:val="center"/>
          </w:tcPr>
          <w:p w14:paraId="624540BB">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default" w:ascii="Times New Roman" w:hAnsi="Times New Roman" w:eastAsia="方正仿宋简体" w:cs="Times New Roman"/>
                <w:color w:val="auto"/>
                <w:kern w:val="0"/>
                <w:sz w:val="21"/>
                <w:szCs w:val="21"/>
                <w:lang w:val="en-US" w:eastAsia="zh-CN" w:bidi="ar"/>
              </w:rPr>
              <w:t>21</w:t>
            </w:r>
          </w:p>
        </w:tc>
        <w:tc>
          <w:tcPr>
            <w:tcW w:w="1713" w:type="dxa"/>
            <w:tcBorders>
              <w:top w:val="nil"/>
              <w:left w:val="nil"/>
              <w:bottom w:val="nil"/>
              <w:right w:val="single" w:color="000000" w:sz="8" w:space="0"/>
            </w:tcBorders>
            <w:shd w:val="clear" w:color="auto" w:fill="auto"/>
            <w:vAlign w:val="center"/>
          </w:tcPr>
          <w:p w14:paraId="0B0C9098">
            <w:pPr>
              <w:keepNext w:val="0"/>
              <w:keepLines w:val="0"/>
              <w:widowControl/>
              <w:suppressLineNumbers w:val="0"/>
              <w:jc w:val="center"/>
              <w:textAlignment w:val="center"/>
              <w:rPr>
                <w:rStyle w:val="15"/>
                <w:lang w:val="en-US" w:eastAsia="zh-CN" w:bidi="ar"/>
              </w:rPr>
            </w:pPr>
            <w:r>
              <w:rPr>
                <w:rFonts w:hint="default" w:ascii="Times New Roman" w:hAnsi="Times New Roman" w:eastAsia="仿宋" w:cs="Times New Roman"/>
                <w:i w:val="0"/>
                <w:iCs w:val="0"/>
                <w:color w:val="auto"/>
                <w:kern w:val="0"/>
                <w:sz w:val="22"/>
                <w:szCs w:val="22"/>
                <w:u w:val="none"/>
                <w:lang w:val="en-US" w:eastAsia="zh-CN" w:bidi="ar"/>
              </w:rPr>
              <w:t>HRB500E螺纹钢</w:t>
            </w:r>
          </w:p>
        </w:tc>
        <w:tc>
          <w:tcPr>
            <w:tcW w:w="1080" w:type="dxa"/>
            <w:tcBorders>
              <w:top w:val="nil"/>
              <w:left w:val="nil"/>
              <w:bottom w:val="nil"/>
              <w:right w:val="single" w:color="000000" w:sz="8" w:space="0"/>
            </w:tcBorders>
            <w:shd w:val="clear" w:color="auto" w:fill="auto"/>
            <w:vAlign w:val="center"/>
          </w:tcPr>
          <w:p w14:paraId="41AB5310">
            <w:pPr>
              <w:keepNext w:val="0"/>
              <w:keepLines w:val="0"/>
              <w:widowControl/>
              <w:suppressLineNumbers w:val="0"/>
              <w:jc w:val="center"/>
              <w:textAlignment w:val="center"/>
              <w:rPr>
                <w:rStyle w:val="15"/>
                <w:lang w:val="en-US" w:eastAsia="zh-CN" w:bidi="ar"/>
              </w:rPr>
            </w:pPr>
            <w:r>
              <w:rPr>
                <w:rFonts w:hint="default" w:ascii="Times New Roman" w:hAnsi="Times New Roman" w:eastAsia="仿宋" w:cs="Times New Roman"/>
                <w:i w:val="0"/>
                <w:iCs w:val="0"/>
                <w:color w:val="auto"/>
                <w:kern w:val="0"/>
                <w:sz w:val="22"/>
                <w:szCs w:val="22"/>
                <w:u w:val="none"/>
                <w:lang w:val="en-US" w:eastAsia="zh-CN" w:bidi="ar"/>
              </w:rPr>
              <w:t>φ22</w:t>
            </w:r>
          </w:p>
        </w:tc>
        <w:tc>
          <w:tcPr>
            <w:tcW w:w="1080" w:type="dxa"/>
            <w:tcBorders>
              <w:top w:val="nil"/>
              <w:left w:val="nil"/>
              <w:bottom w:val="nil"/>
              <w:right w:val="single" w:color="000000" w:sz="8" w:space="0"/>
            </w:tcBorders>
            <w:shd w:val="clear" w:color="auto" w:fill="auto"/>
            <w:vAlign w:val="center"/>
          </w:tcPr>
          <w:p w14:paraId="096CA0AF">
            <w:pPr>
              <w:keepNext w:val="0"/>
              <w:keepLines w:val="0"/>
              <w:widowControl/>
              <w:suppressLineNumbers w:val="0"/>
              <w:jc w:val="center"/>
              <w:textAlignment w:val="center"/>
              <w:rPr>
                <w:rStyle w:val="15"/>
                <w:lang w:val="en-US" w:eastAsia="zh-CN" w:bidi="ar"/>
              </w:rPr>
            </w:pPr>
            <w:r>
              <w:rPr>
                <w:rFonts w:hint="default" w:ascii="Times New Roman" w:hAnsi="Times New Roman" w:eastAsia="仿宋" w:cs="Times New Roman"/>
                <w:i w:val="0"/>
                <w:iCs w:val="0"/>
                <w:color w:val="auto"/>
                <w:kern w:val="0"/>
                <w:sz w:val="22"/>
                <w:szCs w:val="22"/>
                <w:u w:val="none"/>
                <w:lang w:val="en-US" w:eastAsia="zh-CN" w:bidi="ar"/>
              </w:rPr>
              <w:t xml:space="preserve">173.00 </w:t>
            </w:r>
          </w:p>
        </w:tc>
        <w:tc>
          <w:tcPr>
            <w:tcW w:w="1080" w:type="dxa"/>
            <w:tcBorders>
              <w:top w:val="nil"/>
              <w:left w:val="nil"/>
              <w:bottom w:val="nil"/>
              <w:right w:val="nil"/>
            </w:tcBorders>
            <w:shd w:val="clear" w:color="auto" w:fill="auto"/>
            <w:vAlign w:val="center"/>
          </w:tcPr>
          <w:p w14:paraId="3BEE6F46">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85276">
            <w:pPr>
              <w:jc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9A547">
            <w:pPr>
              <w:jc w:val="center"/>
              <w:rPr>
                <w:rStyle w:val="15"/>
                <w:rFonts w:hint="eastAsia"/>
                <w:lang w:val="en-US" w:eastAsia="zh-CN" w:bidi="ar"/>
              </w:rPr>
            </w:pPr>
          </w:p>
        </w:tc>
        <w:tc>
          <w:tcPr>
            <w:tcW w:w="785" w:type="dxa"/>
            <w:tcBorders>
              <w:top w:val="nil"/>
              <w:left w:val="nil"/>
              <w:bottom w:val="nil"/>
              <w:right w:val="single" w:color="000000" w:sz="8" w:space="0"/>
            </w:tcBorders>
            <w:shd w:val="clear" w:color="auto" w:fill="auto"/>
            <w:noWrap/>
            <w:vAlign w:val="center"/>
          </w:tcPr>
          <w:p w14:paraId="4EFDB6D5">
            <w:pPr>
              <w:keepNext w:val="0"/>
              <w:keepLines w:val="0"/>
              <w:widowControl/>
              <w:suppressLineNumbers w:val="0"/>
              <w:jc w:val="center"/>
              <w:textAlignment w:val="center"/>
              <w:rPr>
                <w:rStyle w:val="16"/>
                <w:lang w:val="en-US" w:eastAsia="zh-CN" w:bidi="ar"/>
              </w:rPr>
            </w:pPr>
          </w:p>
        </w:tc>
      </w:tr>
      <w:tr w14:paraId="12B07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nil"/>
              <w:right w:val="single" w:color="000000" w:sz="8" w:space="0"/>
            </w:tcBorders>
            <w:shd w:val="clear" w:color="auto" w:fill="auto"/>
            <w:vAlign w:val="center"/>
          </w:tcPr>
          <w:p w14:paraId="35D83FB7">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default" w:ascii="Times New Roman" w:hAnsi="Times New Roman" w:eastAsia="方正仿宋简体" w:cs="Times New Roman"/>
                <w:color w:val="auto"/>
                <w:kern w:val="0"/>
                <w:sz w:val="21"/>
                <w:szCs w:val="21"/>
                <w:lang w:val="en-US" w:eastAsia="zh-CN" w:bidi="ar"/>
              </w:rPr>
              <w:t>22</w:t>
            </w:r>
          </w:p>
        </w:tc>
        <w:tc>
          <w:tcPr>
            <w:tcW w:w="1713" w:type="dxa"/>
            <w:tcBorders>
              <w:top w:val="nil"/>
              <w:left w:val="nil"/>
              <w:bottom w:val="nil"/>
              <w:right w:val="single" w:color="000000" w:sz="8" w:space="0"/>
            </w:tcBorders>
            <w:shd w:val="clear" w:color="auto" w:fill="auto"/>
            <w:vAlign w:val="center"/>
          </w:tcPr>
          <w:p w14:paraId="0FAD056C">
            <w:pPr>
              <w:keepNext w:val="0"/>
              <w:keepLines w:val="0"/>
              <w:widowControl/>
              <w:suppressLineNumbers w:val="0"/>
              <w:jc w:val="center"/>
              <w:textAlignment w:val="center"/>
              <w:rPr>
                <w:rStyle w:val="15"/>
                <w:lang w:val="en-US" w:eastAsia="zh-CN" w:bidi="ar"/>
              </w:rPr>
            </w:pPr>
            <w:r>
              <w:rPr>
                <w:rFonts w:hint="default" w:ascii="Times New Roman" w:hAnsi="Times New Roman" w:eastAsia="仿宋" w:cs="Times New Roman"/>
                <w:i w:val="0"/>
                <w:iCs w:val="0"/>
                <w:color w:val="auto"/>
                <w:kern w:val="0"/>
                <w:sz w:val="22"/>
                <w:szCs w:val="22"/>
                <w:u w:val="none"/>
                <w:lang w:val="en-US" w:eastAsia="zh-CN" w:bidi="ar"/>
              </w:rPr>
              <w:t>HRB500E螺纹钢</w:t>
            </w:r>
          </w:p>
        </w:tc>
        <w:tc>
          <w:tcPr>
            <w:tcW w:w="1080" w:type="dxa"/>
            <w:tcBorders>
              <w:top w:val="nil"/>
              <w:left w:val="nil"/>
              <w:bottom w:val="nil"/>
              <w:right w:val="single" w:color="000000" w:sz="8" w:space="0"/>
            </w:tcBorders>
            <w:shd w:val="clear" w:color="auto" w:fill="auto"/>
            <w:vAlign w:val="center"/>
          </w:tcPr>
          <w:p w14:paraId="6BEB27EB">
            <w:pPr>
              <w:keepNext w:val="0"/>
              <w:keepLines w:val="0"/>
              <w:widowControl/>
              <w:suppressLineNumbers w:val="0"/>
              <w:jc w:val="center"/>
              <w:textAlignment w:val="center"/>
              <w:rPr>
                <w:rStyle w:val="15"/>
                <w:lang w:val="en-US" w:eastAsia="zh-CN" w:bidi="ar"/>
              </w:rPr>
            </w:pPr>
            <w:r>
              <w:rPr>
                <w:rFonts w:hint="default" w:ascii="Times New Roman" w:hAnsi="Times New Roman" w:eastAsia="仿宋" w:cs="Times New Roman"/>
                <w:i w:val="0"/>
                <w:iCs w:val="0"/>
                <w:color w:val="auto"/>
                <w:kern w:val="0"/>
                <w:sz w:val="22"/>
                <w:szCs w:val="22"/>
                <w:u w:val="none"/>
                <w:lang w:val="en-US" w:eastAsia="zh-CN" w:bidi="ar"/>
              </w:rPr>
              <w:t>φ25</w:t>
            </w:r>
          </w:p>
        </w:tc>
        <w:tc>
          <w:tcPr>
            <w:tcW w:w="1080" w:type="dxa"/>
            <w:tcBorders>
              <w:top w:val="nil"/>
              <w:left w:val="nil"/>
              <w:bottom w:val="nil"/>
              <w:right w:val="single" w:color="000000" w:sz="8" w:space="0"/>
            </w:tcBorders>
            <w:shd w:val="clear" w:color="auto" w:fill="auto"/>
            <w:vAlign w:val="center"/>
          </w:tcPr>
          <w:p w14:paraId="7CE99921">
            <w:pPr>
              <w:keepNext w:val="0"/>
              <w:keepLines w:val="0"/>
              <w:widowControl/>
              <w:suppressLineNumbers w:val="0"/>
              <w:jc w:val="center"/>
              <w:textAlignment w:val="center"/>
              <w:rPr>
                <w:rStyle w:val="15"/>
                <w:lang w:val="en-US" w:eastAsia="zh-CN" w:bidi="ar"/>
              </w:rPr>
            </w:pPr>
            <w:r>
              <w:rPr>
                <w:rFonts w:hint="default" w:ascii="Times New Roman" w:hAnsi="Times New Roman" w:eastAsia="仿宋" w:cs="Times New Roman"/>
                <w:i w:val="0"/>
                <w:iCs w:val="0"/>
                <w:color w:val="auto"/>
                <w:kern w:val="0"/>
                <w:sz w:val="22"/>
                <w:szCs w:val="22"/>
                <w:u w:val="none"/>
                <w:lang w:val="en-US" w:eastAsia="zh-CN" w:bidi="ar"/>
              </w:rPr>
              <w:t xml:space="preserve">215.00 </w:t>
            </w:r>
          </w:p>
        </w:tc>
        <w:tc>
          <w:tcPr>
            <w:tcW w:w="1080" w:type="dxa"/>
            <w:tcBorders>
              <w:top w:val="nil"/>
              <w:left w:val="nil"/>
              <w:bottom w:val="nil"/>
              <w:right w:val="nil"/>
            </w:tcBorders>
            <w:shd w:val="clear" w:color="auto" w:fill="auto"/>
            <w:vAlign w:val="center"/>
          </w:tcPr>
          <w:p w14:paraId="74BC099B">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93BBA">
            <w:pPr>
              <w:jc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CB9D4">
            <w:pPr>
              <w:jc w:val="center"/>
              <w:rPr>
                <w:rStyle w:val="15"/>
                <w:rFonts w:hint="eastAsia"/>
                <w:lang w:val="en-US" w:eastAsia="zh-CN" w:bidi="ar"/>
              </w:rPr>
            </w:pPr>
          </w:p>
        </w:tc>
        <w:tc>
          <w:tcPr>
            <w:tcW w:w="785" w:type="dxa"/>
            <w:tcBorders>
              <w:top w:val="nil"/>
              <w:left w:val="nil"/>
              <w:bottom w:val="nil"/>
              <w:right w:val="single" w:color="000000" w:sz="8" w:space="0"/>
            </w:tcBorders>
            <w:shd w:val="clear" w:color="auto" w:fill="auto"/>
            <w:noWrap/>
            <w:vAlign w:val="center"/>
          </w:tcPr>
          <w:p w14:paraId="63B97971">
            <w:pPr>
              <w:keepNext w:val="0"/>
              <w:keepLines w:val="0"/>
              <w:widowControl/>
              <w:suppressLineNumbers w:val="0"/>
              <w:jc w:val="center"/>
              <w:textAlignment w:val="center"/>
              <w:rPr>
                <w:rStyle w:val="16"/>
                <w:lang w:val="en-US" w:eastAsia="zh-CN" w:bidi="ar"/>
              </w:rPr>
            </w:pPr>
          </w:p>
        </w:tc>
      </w:tr>
      <w:tr w14:paraId="7B11C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nil"/>
              <w:right w:val="single" w:color="000000" w:sz="8" w:space="0"/>
            </w:tcBorders>
            <w:shd w:val="clear" w:color="auto" w:fill="auto"/>
            <w:vAlign w:val="center"/>
          </w:tcPr>
          <w:p w14:paraId="07B37FAF">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default" w:ascii="Times New Roman" w:hAnsi="Times New Roman" w:eastAsia="方正仿宋简体" w:cs="Times New Roman"/>
                <w:color w:val="auto"/>
                <w:kern w:val="0"/>
                <w:sz w:val="21"/>
                <w:szCs w:val="21"/>
                <w:lang w:val="en-US" w:eastAsia="zh-CN" w:bidi="ar"/>
              </w:rPr>
              <w:t>23</w:t>
            </w:r>
          </w:p>
        </w:tc>
        <w:tc>
          <w:tcPr>
            <w:tcW w:w="1713" w:type="dxa"/>
            <w:tcBorders>
              <w:top w:val="nil"/>
              <w:left w:val="nil"/>
              <w:bottom w:val="nil"/>
              <w:right w:val="single" w:color="000000" w:sz="8" w:space="0"/>
            </w:tcBorders>
            <w:shd w:val="clear" w:color="auto" w:fill="auto"/>
            <w:vAlign w:val="center"/>
          </w:tcPr>
          <w:p w14:paraId="037DD291">
            <w:pPr>
              <w:keepNext w:val="0"/>
              <w:keepLines w:val="0"/>
              <w:widowControl/>
              <w:suppressLineNumbers w:val="0"/>
              <w:jc w:val="center"/>
              <w:textAlignment w:val="center"/>
              <w:rPr>
                <w:rStyle w:val="15"/>
                <w:lang w:val="en-US" w:eastAsia="zh-CN" w:bidi="ar"/>
              </w:rPr>
            </w:pPr>
            <w:r>
              <w:rPr>
                <w:rFonts w:hint="default" w:ascii="Times New Roman" w:hAnsi="Times New Roman" w:eastAsia="仿宋" w:cs="Times New Roman"/>
                <w:i w:val="0"/>
                <w:iCs w:val="0"/>
                <w:color w:val="auto"/>
                <w:kern w:val="0"/>
                <w:sz w:val="22"/>
                <w:szCs w:val="22"/>
                <w:u w:val="none"/>
                <w:lang w:val="en-US" w:eastAsia="zh-CN" w:bidi="ar"/>
              </w:rPr>
              <w:t>HRB500E螺纹钢</w:t>
            </w:r>
          </w:p>
        </w:tc>
        <w:tc>
          <w:tcPr>
            <w:tcW w:w="1080" w:type="dxa"/>
            <w:tcBorders>
              <w:top w:val="nil"/>
              <w:left w:val="nil"/>
              <w:bottom w:val="nil"/>
              <w:right w:val="single" w:color="000000" w:sz="8" w:space="0"/>
            </w:tcBorders>
            <w:shd w:val="clear" w:color="auto" w:fill="auto"/>
            <w:vAlign w:val="center"/>
          </w:tcPr>
          <w:p w14:paraId="448F1163">
            <w:pPr>
              <w:keepNext w:val="0"/>
              <w:keepLines w:val="0"/>
              <w:widowControl/>
              <w:suppressLineNumbers w:val="0"/>
              <w:jc w:val="center"/>
              <w:textAlignment w:val="center"/>
              <w:rPr>
                <w:rStyle w:val="15"/>
                <w:lang w:val="en-US" w:eastAsia="zh-CN" w:bidi="ar"/>
              </w:rPr>
            </w:pPr>
            <w:r>
              <w:rPr>
                <w:rFonts w:hint="default" w:ascii="Times New Roman" w:hAnsi="Times New Roman" w:eastAsia="仿宋" w:cs="Times New Roman"/>
                <w:i w:val="0"/>
                <w:iCs w:val="0"/>
                <w:color w:val="auto"/>
                <w:kern w:val="0"/>
                <w:sz w:val="22"/>
                <w:szCs w:val="22"/>
                <w:u w:val="none"/>
                <w:lang w:val="en-US" w:eastAsia="zh-CN" w:bidi="ar"/>
              </w:rPr>
              <w:t>φ28-32</w:t>
            </w:r>
          </w:p>
        </w:tc>
        <w:tc>
          <w:tcPr>
            <w:tcW w:w="1080" w:type="dxa"/>
            <w:tcBorders>
              <w:top w:val="nil"/>
              <w:left w:val="nil"/>
              <w:bottom w:val="nil"/>
              <w:right w:val="single" w:color="000000" w:sz="8" w:space="0"/>
            </w:tcBorders>
            <w:shd w:val="clear" w:color="auto" w:fill="auto"/>
            <w:vAlign w:val="center"/>
          </w:tcPr>
          <w:p w14:paraId="6B20CABA">
            <w:pPr>
              <w:keepNext w:val="0"/>
              <w:keepLines w:val="0"/>
              <w:widowControl/>
              <w:suppressLineNumbers w:val="0"/>
              <w:jc w:val="center"/>
              <w:textAlignment w:val="center"/>
              <w:rPr>
                <w:rStyle w:val="15"/>
                <w:lang w:val="en-US" w:eastAsia="zh-CN" w:bidi="ar"/>
              </w:rPr>
            </w:pPr>
            <w:r>
              <w:rPr>
                <w:rFonts w:hint="default" w:ascii="Times New Roman" w:hAnsi="Times New Roman" w:eastAsia="仿宋" w:cs="Times New Roman"/>
                <w:i w:val="0"/>
                <w:iCs w:val="0"/>
                <w:color w:val="auto"/>
                <w:kern w:val="0"/>
                <w:sz w:val="22"/>
                <w:szCs w:val="22"/>
                <w:u w:val="none"/>
                <w:lang w:val="en-US" w:eastAsia="zh-CN" w:bidi="ar"/>
              </w:rPr>
              <w:t xml:space="preserve">15.00 </w:t>
            </w:r>
          </w:p>
        </w:tc>
        <w:tc>
          <w:tcPr>
            <w:tcW w:w="1080" w:type="dxa"/>
            <w:tcBorders>
              <w:top w:val="nil"/>
              <w:left w:val="nil"/>
              <w:bottom w:val="nil"/>
              <w:right w:val="nil"/>
            </w:tcBorders>
            <w:shd w:val="clear" w:color="auto" w:fill="auto"/>
            <w:vAlign w:val="center"/>
          </w:tcPr>
          <w:p w14:paraId="393BA2AD">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default" w:ascii="Times New Roman" w:hAnsi="Times New Roman" w:eastAsia="方正仿宋简体" w:cs="Times New Roman"/>
                <w:color w:val="auto"/>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04718">
            <w:pPr>
              <w:jc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16504">
            <w:pPr>
              <w:jc w:val="center"/>
              <w:rPr>
                <w:rStyle w:val="15"/>
                <w:rFonts w:hint="eastAsia"/>
                <w:lang w:val="en-US" w:eastAsia="zh-CN" w:bidi="ar"/>
              </w:rPr>
            </w:pPr>
          </w:p>
        </w:tc>
        <w:tc>
          <w:tcPr>
            <w:tcW w:w="785" w:type="dxa"/>
            <w:tcBorders>
              <w:top w:val="nil"/>
              <w:left w:val="nil"/>
              <w:bottom w:val="nil"/>
              <w:right w:val="single" w:color="000000" w:sz="8" w:space="0"/>
            </w:tcBorders>
            <w:shd w:val="clear" w:color="auto" w:fill="auto"/>
            <w:noWrap/>
            <w:vAlign w:val="center"/>
          </w:tcPr>
          <w:p w14:paraId="5C2BF96B">
            <w:pPr>
              <w:keepNext w:val="0"/>
              <w:keepLines w:val="0"/>
              <w:widowControl/>
              <w:suppressLineNumbers w:val="0"/>
              <w:jc w:val="center"/>
              <w:textAlignment w:val="center"/>
              <w:rPr>
                <w:rStyle w:val="16"/>
                <w:lang w:val="en-US" w:eastAsia="zh-CN" w:bidi="ar"/>
              </w:rPr>
            </w:pPr>
          </w:p>
        </w:tc>
      </w:tr>
      <w:tr w14:paraId="2F713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5703" w:type="dxa"/>
            <w:gridSpan w:val="5"/>
            <w:tcBorders>
              <w:top w:val="nil"/>
              <w:left w:val="single" w:color="000000" w:sz="8" w:space="0"/>
              <w:bottom w:val="single" w:color="000000" w:sz="8" w:space="0"/>
              <w:right w:val="nil"/>
            </w:tcBorders>
            <w:shd w:val="clear" w:color="auto" w:fill="auto"/>
            <w:vAlign w:val="center"/>
          </w:tcPr>
          <w:p w14:paraId="45FE9F08">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7B22D">
            <w:pPr>
              <w:jc w:val="center"/>
              <w:rPr>
                <w:rFonts w:hint="eastAsia" w:ascii="宋体" w:hAnsi="宋体" w:cs="宋体"/>
                <w:i w:val="0"/>
                <w:iCs w:val="0"/>
                <w:color w:val="000000"/>
                <w:sz w:val="20"/>
                <w:szCs w:val="20"/>
                <w:u w:val="none"/>
                <w:lang w:val="en-US" w:eastAsia="zh-CN"/>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E5CE9">
            <w:pPr>
              <w:jc w:val="center"/>
              <w:rPr>
                <w:rStyle w:val="15"/>
                <w:rFonts w:hint="eastAsia"/>
                <w:lang w:val="en-US" w:eastAsia="zh-CN" w:bidi="ar"/>
              </w:rPr>
            </w:pPr>
          </w:p>
        </w:tc>
        <w:tc>
          <w:tcPr>
            <w:tcW w:w="785" w:type="dxa"/>
            <w:tcBorders>
              <w:top w:val="nil"/>
              <w:left w:val="nil"/>
              <w:bottom w:val="single" w:color="000000" w:sz="8" w:space="0"/>
              <w:right w:val="single" w:color="000000" w:sz="8" w:space="0"/>
            </w:tcBorders>
            <w:shd w:val="clear" w:color="auto" w:fill="auto"/>
            <w:noWrap/>
            <w:vAlign w:val="center"/>
          </w:tcPr>
          <w:p w14:paraId="5810E846">
            <w:pPr>
              <w:keepNext w:val="0"/>
              <w:keepLines w:val="0"/>
              <w:widowControl/>
              <w:suppressLineNumbers w:val="0"/>
              <w:jc w:val="center"/>
              <w:textAlignment w:val="center"/>
              <w:rPr>
                <w:rStyle w:val="16"/>
                <w:lang w:val="en-US" w:eastAsia="zh-CN" w:bidi="ar"/>
              </w:rPr>
            </w:pPr>
          </w:p>
        </w:tc>
      </w:tr>
    </w:tbl>
    <w:p w14:paraId="4D3E3A6E">
      <w:pPr>
        <w:pStyle w:val="2"/>
        <w:rPr>
          <w:rFonts w:ascii="Times New Roman" w:hAnsi="Times New Roman"/>
          <w:sz w:val="22"/>
          <w:szCs w:val="21"/>
        </w:rPr>
      </w:pPr>
    </w:p>
    <w:p w14:paraId="68B4DEB1">
      <w:pPr>
        <w:spacing w:line="360" w:lineRule="exact"/>
        <w:ind w:firstLine="420" w:firstLineChars="200"/>
        <w:jc w:val="left"/>
        <w:rPr>
          <w:rFonts w:ascii="仿宋" w:hAnsi="仿宋" w:cs="仿宋"/>
          <w:b/>
        </w:rPr>
      </w:pPr>
      <w:r>
        <w:rPr>
          <w:rFonts w:hint="eastAsia" w:ascii="仿宋" w:hAnsi="仿宋" w:eastAsia="仿宋" w:cs="仿宋"/>
          <w:bCs/>
        </w:rPr>
        <w:t>注：</w:t>
      </w:r>
      <w:r>
        <w:rPr>
          <w:rFonts w:hint="eastAsia" w:ascii="仿宋" w:hAnsi="仿宋" w:cs="仿宋"/>
          <w:bCs/>
        </w:rPr>
        <w:t>1</w:t>
      </w:r>
      <w:r>
        <w:rPr>
          <w:rFonts w:hint="eastAsia" w:ascii="仿宋" w:hAnsi="仿宋" w:cs="仿宋"/>
          <w:b/>
        </w:rPr>
        <w:t>.</w:t>
      </w:r>
      <w:r>
        <w:rPr>
          <w:rFonts w:hint="eastAsia" w:ascii="仿宋" w:hAnsi="仿宋" w:eastAsia="仿宋" w:cs="仿宋"/>
          <w:bCs/>
        </w:rPr>
        <w:t>材料采购量以采购人验收签认的实际供货量为准；</w:t>
      </w:r>
    </w:p>
    <w:p w14:paraId="0C68D610">
      <w:pPr>
        <w:spacing w:line="540" w:lineRule="exact"/>
        <w:ind w:firstLine="840" w:firstLineChars="400"/>
        <w:rPr>
          <w:rFonts w:ascii="仿宋" w:hAnsi="仿宋" w:eastAsia="仿宋" w:cs="仿宋"/>
          <w:bCs/>
        </w:rPr>
      </w:pPr>
      <w:commentRangeStart w:id="0"/>
      <w:commentRangeStart w:id="1"/>
      <w:r>
        <w:rPr>
          <w:rFonts w:hint="eastAsia" w:ascii="仿宋" w:hAnsi="仿宋" w:cs="仿宋"/>
          <w:bCs/>
        </w:rPr>
        <w:t>2.</w:t>
      </w:r>
      <w:r>
        <w:rPr>
          <w:rFonts w:hint="eastAsia" w:ascii="仿宋" w:hAnsi="仿宋" w:cs="仿宋"/>
          <w:bCs/>
          <w:lang w:val="en-US" w:eastAsia="zh-CN"/>
        </w:rPr>
        <w:t>该单价为固定含税单价，</w:t>
      </w:r>
      <w:r>
        <w:rPr>
          <w:rFonts w:hint="eastAsia" w:ascii="仿宋" w:hAnsi="仿宋" w:eastAsia="仿宋" w:cs="仿宋"/>
          <w:bCs/>
        </w:rPr>
        <w:t>以上钢筋价格包含从出厂到施工现场的所有费用（包括但不限于材料费、人工费、机械费、出厂前检测费、运杂费、装车费、保险费、利润、卸车费等一切该项目施工现场的所有费用）。</w:t>
      </w:r>
      <w:commentRangeEnd w:id="0"/>
      <w:r>
        <w:commentReference w:id="0"/>
      </w:r>
      <w:commentRangeEnd w:id="1"/>
      <w:r>
        <w:commentReference w:id="1"/>
      </w:r>
    </w:p>
    <w:p w14:paraId="5C81F133">
      <w:pPr>
        <w:spacing w:line="540" w:lineRule="exact"/>
        <w:ind w:firstLine="840" w:firstLineChars="400"/>
        <w:rPr>
          <w:rFonts w:ascii="仿宋" w:hAnsi="仿宋" w:eastAsia="仿宋" w:cs="仿宋"/>
          <w:bCs/>
        </w:rPr>
      </w:pPr>
      <w:r>
        <w:rPr>
          <w:rFonts w:hint="eastAsia" w:ascii="仿宋" w:hAnsi="仿宋" w:eastAsia="仿宋" w:cs="仿宋"/>
          <w:bCs/>
        </w:rPr>
        <w:t>3.若国家税务政策发生变化，则上述单价按调整后的税率同比例调整。</w:t>
      </w:r>
    </w:p>
    <w:p w14:paraId="32D48B06">
      <w:pPr>
        <w:widowControl/>
        <w:spacing w:line="540" w:lineRule="exact"/>
        <w:ind w:left="210" w:leftChars="100" w:firstLine="210" w:firstLineChars="100"/>
        <w:jc w:val="left"/>
        <w:rPr>
          <w:rFonts w:ascii="宋体" w:hAnsi="宋体" w:cs="宋体"/>
          <w:kern w:val="0"/>
          <w:szCs w:val="21"/>
        </w:rPr>
      </w:pPr>
      <w:r>
        <w:rPr>
          <w:rFonts w:ascii="宋体" w:hAnsi="宋体" w:cs="宋体"/>
          <w:kern w:val="0"/>
          <w:szCs w:val="21"/>
        </w:rPr>
        <w:t>2、</w:t>
      </w:r>
      <w:r>
        <w:rPr>
          <w:rFonts w:hint="eastAsia" w:ascii="宋体" w:hAnsi="宋体" w:cs="宋体"/>
          <w:kern w:val="0"/>
          <w:szCs w:val="21"/>
        </w:rPr>
        <w:t>本次</w:t>
      </w:r>
      <w:r>
        <w:rPr>
          <w:rFonts w:ascii="宋体" w:hAnsi="宋体" w:cs="宋体"/>
          <w:kern w:val="0"/>
          <w:szCs w:val="21"/>
        </w:rPr>
        <w:t>采购预算含税金额为：</w:t>
      </w:r>
      <w:bookmarkStart w:id="0" w:name="OLE_LINK11"/>
      <w:bookmarkStart w:id="1" w:name="OLE_LINK10"/>
      <w:bookmarkStart w:id="2" w:name="OLE_LINK4"/>
      <w:r>
        <w:rPr>
          <w:rFonts w:ascii="宋体" w:hAnsi="宋体" w:cs="宋体"/>
          <w:kern w:val="0"/>
          <w:szCs w:val="21"/>
        </w:rPr>
        <w:t>¥ :</w:t>
      </w:r>
      <w:bookmarkEnd w:id="0"/>
      <w:bookmarkEnd w:id="1"/>
      <w:r>
        <w:rPr>
          <w:rFonts w:hint="eastAsia" w:ascii="宋体" w:hAnsi="宋体" w:cs="宋体"/>
          <w:kern w:val="0"/>
          <w:szCs w:val="21"/>
          <w:u w:val="single"/>
          <w:lang w:val="en-US" w:eastAsia="zh-CN"/>
        </w:rPr>
        <w:t xml:space="preserve">     </w:t>
      </w:r>
      <w:r>
        <w:rPr>
          <w:rFonts w:ascii="宋体" w:hAnsi="宋体" w:cs="宋体"/>
          <w:kern w:val="0"/>
          <w:szCs w:val="21"/>
        </w:rPr>
        <w:t>元</w:t>
      </w:r>
      <w:bookmarkEnd w:id="2"/>
      <w:r>
        <w:rPr>
          <w:rFonts w:ascii="宋体" w:hAnsi="宋体" w:cs="宋体"/>
          <w:kern w:val="0"/>
          <w:szCs w:val="21"/>
        </w:rPr>
        <w:t xml:space="preserve"> ,</w:t>
      </w:r>
      <w:r>
        <w:rPr>
          <w:rFonts w:hint="eastAsia" w:ascii="宋体" w:hAnsi="宋体" w:cs="宋体"/>
          <w:kern w:val="0"/>
          <w:szCs w:val="21"/>
        </w:rPr>
        <w:t>其中，不含税金额：</w:t>
      </w:r>
      <w:r>
        <w:rPr>
          <w:rFonts w:ascii="宋体" w:hAnsi="宋体" w:cs="宋体"/>
          <w:kern w:val="0"/>
          <w:szCs w:val="21"/>
        </w:rPr>
        <w:t>¥ :</w:t>
      </w:r>
      <w:r>
        <w:rPr>
          <w:rFonts w:hint="eastAsia" w:ascii="宋体" w:hAnsi="宋体" w:cs="宋体"/>
          <w:kern w:val="0"/>
          <w:szCs w:val="21"/>
          <w:u w:val="single"/>
          <w:lang w:val="en-US" w:eastAsia="zh-CN"/>
        </w:rPr>
        <w:t xml:space="preserve">     </w:t>
      </w:r>
      <w:r>
        <w:rPr>
          <w:rFonts w:hint="eastAsia" w:ascii="宋体" w:hAnsi="宋体" w:cs="宋体"/>
          <w:kern w:val="0"/>
          <w:szCs w:val="21"/>
        </w:rPr>
        <w:t>元，增值税额：</w:t>
      </w:r>
      <w:r>
        <w:rPr>
          <w:rFonts w:ascii="宋体" w:hAnsi="宋体" w:cs="宋体"/>
          <w:kern w:val="0"/>
          <w:szCs w:val="21"/>
        </w:rPr>
        <w:t>¥ :</w:t>
      </w:r>
      <w:r>
        <w:rPr>
          <w:rFonts w:hint="eastAsia" w:ascii="宋体" w:hAnsi="宋体" w:cs="宋体"/>
          <w:kern w:val="0"/>
          <w:szCs w:val="21"/>
          <w:u w:val="single"/>
          <w:lang w:val="en-US" w:eastAsia="zh-CN"/>
        </w:rPr>
        <w:t xml:space="preserve">   </w:t>
      </w:r>
      <w:r>
        <w:rPr>
          <w:rFonts w:hint="eastAsia" w:ascii="宋体" w:hAnsi="宋体" w:cs="宋体"/>
          <w:kern w:val="0"/>
          <w:szCs w:val="21"/>
        </w:rPr>
        <w:t>元。（税率</w:t>
      </w:r>
      <w:r>
        <w:rPr>
          <w:rFonts w:hint="eastAsia" w:ascii="宋体" w:hAnsi="宋体" w:cs="宋体"/>
          <w:kern w:val="0"/>
          <w:szCs w:val="21"/>
          <w:u w:val="single"/>
          <w:lang w:val="en-US" w:eastAsia="zh-CN"/>
        </w:rPr>
        <w:t>13</w:t>
      </w:r>
      <w:r>
        <w:rPr>
          <w:rFonts w:hint="eastAsia" w:ascii="宋体" w:hAnsi="宋体" w:cs="宋体"/>
          <w:kern w:val="0"/>
          <w:szCs w:val="21"/>
        </w:rPr>
        <w:t>%，增值税税率根据国家现行政策执行,只调整税金额度,不调整不含税价款）</w:t>
      </w:r>
      <w:r>
        <w:rPr>
          <w:rFonts w:ascii="宋体" w:hAnsi="宋体" w:cs="宋体"/>
          <w:kern w:val="0"/>
          <w:szCs w:val="21"/>
        </w:rPr>
        <w:t>。供货数量、时间和地点以甲方需求计划为准，结算数量为甲方实收合格数量，甲方有权对合同中的</w:t>
      </w:r>
      <w:r>
        <w:rPr>
          <w:rFonts w:hint="eastAsia" w:ascii="宋体" w:hAnsi="宋体" w:cs="宋体"/>
          <w:kern w:val="0"/>
          <w:szCs w:val="21"/>
        </w:rPr>
        <w:t>供货金额</w:t>
      </w:r>
      <w:r>
        <w:rPr>
          <w:rFonts w:ascii="宋体" w:hAnsi="宋体" w:cs="宋体"/>
          <w:kern w:val="0"/>
          <w:szCs w:val="21"/>
        </w:rPr>
        <w:t>和交货时间做调整，乙方不得有异议，最终供货数量未达到暂估</w:t>
      </w:r>
      <w:r>
        <w:rPr>
          <w:rFonts w:hint="eastAsia" w:ascii="宋体" w:hAnsi="宋体" w:cs="宋体"/>
          <w:kern w:val="0"/>
          <w:szCs w:val="21"/>
        </w:rPr>
        <w:t>金额</w:t>
      </w:r>
      <w:r>
        <w:rPr>
          <w:rFonts w:ascii="宋体" w:hAnsi="宋体" w:cs="宋体"/>
          <w:kern w:val="0"/>
          <w:szCs w:val="21"/>
        </w:rPr>
        <w:t>时，乙方不得以 供货</w:t>
      </w:r>
      <w:r>
        <w:rPr>
          <w:rFonts w:hint="eastAsia" w:ascii="宋体" w:hAnsi="宋体" w:cs="宋体"/>
          <w:kern w:val="0"/>
          <w:szCs w:val="21"/>
        </w:rPr>
        <w:t>金额</w:t>
      </w:r>
      <w:r>
        <w:rPr>
          <w:rFonts w:ascii="宋体" w:hAnsi="宋体" w:cs="宋体"/>
          <w:kern w:val="0"/>
          <w:szCs w:val="21"/>
        </w:rPr>
        <w:t>不足向甲方主张任何权利。</w:t>
      </w:r>
    </w:p>
    <w:p w14:paraId="2D7D80BA">
      <w:pPr>
        <w:spacing w:line="540" w:lineRule="exact"/>
        <w:ind w:firstLine="420" w:firstLineChars="200"/>
        <w:jc w:val="left"/>
        <w:rPr>
          <w:rFonts w:ascii="宋体" w:hAnsi="宋体" w:cs="宋体"/>
          <w:kern w:val="0"/>
          <w:szCs w:val="21"/>
        </w:rPr>
      </w:pPr>
      <w:r>
        <w:rPr>
          <w:rFonts w:ascii="宋体" w:hAnsi="宋体" w:cs="宋体"/>
          <w:kern w:val="0"/>
          <w:szCs w:val="21"/>
        </w:rPr>
        <w:t>3、本合同总价为暂估总价，甲方有权调整合同</w:t>
      </w:r>
      <w:r>
        <w:rPr>
          <w:rFonts w:hint="eastAsia" w:ascii="宋体" w:hAnsi="宋体" w:cs="宋体"/>
          <w:kern w:val="0"/>
          <w:szCs w:val="21"/>
        </w:rPr>
        <w:t>履行过程</w:t>
      </w:r>
      <w:r>
        <w:rPr>
          <w:rFonts w:ascii="宋体" w:hAnsi="宋体" w:cs="宋体"/>
          <w:kern w:val="0"/>
          <w:szCs w:val="21"/>
        </w:rPr>
        <w:t>中材料计划或材料数量，材料数量和规格的调整，不影响本合同单价及其他条款的执行。</w:t>
      </w:r>
    </w:p>
    <w:p w14:paraId="4E3DEF9B">
      <w:pPr>
        <w:tabs>
          <w:tab w:val="left" w:pos="567"/>
        </w:tabs>
        <w:adjustRightInd w:val="0"/>
        <w:snapToGrid w:val="0"/>
        <w:spacing w:line="360" w:lineRule="exact"/>
        <w:ind w:firstLine="472" w:firstLineChars="196"/>
        <w:rPr>
          <w:rFonts w:ascii="仿宋" w:hAnsi="仿宋" w:eastAsia="仿宋" w:cs="仿宋"/>
          <w:b/>
          <w:color w:val="000000"/>
          <w:sz w:val="24"/>
        </w:rPr>
      </w:pPr>
      <w:r>
        <w:rPr>
          <w:rFonts w:hint="eastAsia" w:ascii="仿宋" w:hAnsi="仿宋" w:eastAsia="仿宋" w:cs="仿宋"/>
          <w:b/>
          <w:color w:val="000000"/>
          <w:sz w:val="24"/>
        </w:rPr>
        <w:t xml:space="preserve">二、技术标准（包括质量要求） </w:t>
      </w:r>
    </w:p>
    <w:p w14:paraId="448FD862">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1、进场的材料必须符合国家标准和行业标准、采购文件要求以及甲方提出的要求，如发生质量问题，甲方有权拒收或要求乙方包退、包换，确保进场材料质量合格率100%, 并须在材料进场的同时提供材料的质量检验部门的产品材质证明书(甲方有权对所采购的材料进行进一步检测),且材质证明书内容要和现场进料单及标牌所标明内容相对应。</w:t>
      </w:r>
    </w:p>
    <w:p w14:paraId="0CCF3B56">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2、材料质量应严格符合工程所需材料质量验收标准、设计、合同及有关工程施工及验收规范的要求。同时，乙方的材料质量必须满足甲方保证工程质量而对质量、服务等提出的各种进一步要求，并以之为依据出具详尽的服务承诺。否则，甲方有权随时解除合同，由此造成甲方工期延误的损失及紧急订货增加的费用等均由乙方承担。</w:t>
      </w:r>
    </w:p>
    <w:p w14:paraId="011B5B17">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3、乙方的产品应符合国家有关环保法律法规的规定以及甲方相关要求，不能对施工环境造成污染；同时，该材料还应该符合甲方职业安全健康管理体系标准的要求，不能对接触货物的有关人员及竣工后的使用人员的健康造成危害。</w:t>
      </w:r>
    </w:p>
    <w:p w14:paraId="54A44F48">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4、若上述标准不一致的，则执行上述标准中最严格的标准；若上述标准与现行国家标准或行业标准不一致或合同执行过程中若出现新的国家标准及行业标准，则以最新的标准为准。</w:t>
      </w:r>
    </w:p>
    <w:p w14:paraId="7F8052C7">
      <w:pPr>
        <w:tabs>
          <w:tab w:val="left" w:pos="567"/>
        </w:tabs>
        <w:adjustRightInd w:val="0"/>
        <w:snapToGrid w:val="0"/>
        <w:spacing w:line="360" w:lineRule="exact"/>
        <w:ind w:firstLine="472" w:firstLineChars="196"/>
        <w:rPr>
          <w:rFonts w:ascii="仿宋" w:hAnsi="仿宋" w:eastAsia="仿宋" w:cs="仿宋"/>
          <w:b/>
          <w:color w:val="000000"/>
          <w:sz w:val="24"/>
        </w:rPr>
      </w:pPr>
      <w:r>
        <w:rPr>
          <w:rFonts w:hint="eastAsia" w:ascii="仿宋" w:hAnsi="仿宋" w:eastAsia="仿宋" w:cs="仿宋"/>
          <w:b/>
          <w:color w:val="000000"/>
          <w:sz w:val="24"/>
        </w:rPr>
        <w:t>三、质量保证期</w:t>
      </w:r>
    </w:p>
    <w:p w14:paraId="7367D39B">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1、甲方对产品的质量要求贯穿于施工前后的整个过程及工程完工后的保修期内。使用过程中才能发现质量缺陷的材料，在甲方提出质量异议后，乙方应立即予以无偿更换并赔偿因质量问题给甲方及工程造成的损失。乙方借故推脱或无理由拒绝甲方提出的维修、更换服务要求，甲方或工程业主可以自行解决，并对维修或更换服务以实际发生费用或市场价（以较高者为准）从甲方应支付给乙方的合同款项中扣除得到补偿。甲方根据合同规定对乙方行使的其他权利不受影响，并保留进一步索赔的权利。维修或更换后的货物的质量保证期相应延长。</w:t>
      </w:r>
    </w:p>
    <w:p w14:paraId="2CBC2025">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2、质量保证期后乙方仍应承担售后服务。乙方必须在接到甲方或工程业主提出书面要求后2日内给予书面答复，并提供相应服务，以达到本工程项目业主满意。</w:t>
      </w:r>
    </w:p>
    <w:p w14:paraId="34BC9F11">
      <w:pPr>
        <w:tabs>
          <w:tab w:val="left" w:pos="567"/>
        </w:tabs>
        <w:adjustRightInd w:val="0"/>
        <w:snapToGrid w:val="0"/>
        <w:spacing w:line="360" w:lineRule="exact"/>
        <w:ind w:firstLine="472" w:firstLineChars="196"/>
        <w:rPr>
          <w:rFonts w:ascii="仿宋" w:hAnsi="仿宋" w:eastAsia="仿宋" w:cs="仿宋"/>
          <w:b/>
          <w:color w:val="000000"/>
          <w:sz w:val="24"/>
        </w:rPr>
      </w:pPr>
      <w:r>
        <w:rPr>
          <w:rFonts w:hint="eastAsia" w:ascii="仿宋" w:hAnsi="仿宋" w:eastAsia="仿宋" w:cs="仿宋"/>
          <w:b/>
          <w:color w:val="000000"/>
          <w:sz w:val="24"/>
        </w:rPr>
        <w:t>四、交货方法、交货地点、交货期限</w:t>
      </w:r>
    </w:p>
    <w:p w14:paraId="1125BD37">
      <w:pPr>
        <w:tabs>
          <w:tab w:val="left" w:pos="567"/>
        </w:tabs>
        <w:adjustRightInd w:val="0"/>
        <w:snapToGrid w:val="0"/>
        <w:spacing w:line="360" w:lineRule="exact"/>
        <w:ind w:firstLine="480" w:firstLineChars="200"/>
        <w:rPr>
          <w:rFonts w:ascii="仿宋" w:hAnsi="仿宋" w:eastAsia="仿宋" w:cs="仿宋"/>
          <w:color w:val="000000"/>
          <w:sz w:val="24"/>
        </w:rPr>
      </w:pPr>
      <w:r>
        <w:rPr>
          <w:rFonts w:hint="eastAsia" w:ascii="仿宋" w:hAnsi="仿宋" w:eastAsia="仿宋" w:cs="仿宋"/>
          <w:bCs/>
          <w:color w:val="000000"/>
          <w:sz w:val="24"/>
        </w:rPr>
        <w:t>1、交货地点:</w:t>
      </w:r>
      <w:r>
        <w:rPr>
          <w:rFonts w:hint="eastAsia" w:ascii="仿宋" w:hAnsi="仿宋" w:eastAsia="仿宋" w:cs="仿宋"/>
          <w:bCs/>
          <w:color w:val="000000"/>
          <w:sz w:val="24"/>
          <w:u w:val="single"/>
        </w:rPr>
        <w:t xml:space="preserve">  项目所在地   </w:t>
      </w:r>
      <w:r>
        <w:rPr>
          <w:rFonts w:hint="eastAsia" w:ascii="仿宋" w:hAnsi="仿宋" w:eastAsia="仿宋" w:cs="仿宋"/>
          <w:bCs/>
          <w:color w:val="000000"/>
          <w:sz w:val="24"/>
        </w:rPr>
        <w:t>，乙方必须保证按甲方的供货通知所要求的规格、数量、时间，供应甲方合同明细中要求的合格材料并运输和卸入指定地点，否则甲方可以在不需要征得乙方同意的条件下将乙方的履约保证金扣除，并有追索其他损失的权利。</w:t>
      </w:r>
    </w:p>
    <w:p w14:paraId="0A2A8EF1">
      <w:pPr>
        <w:spacing w:line="360" w:lineRule="auto"/>
        <w:ind w:firstLine="484" w:firstLineChars="202"/>
        <w:jc w:val="left"/>
        <w:rPr>
          <w:rFonts w:ascii="仿宋" w:hAnsi="仿宋" w:eastAsia="仿宋" w:cs="仿宋"/>
          <w:color w:val="000000"/>
          <w:sz w:val="24"/>
        </w:rPr>
      </w:pPr>
      <w:r>
        <w:rPr>
          <w:rFonts w:hint="eastAsia" w:ascii="仿宋" w:hAnsi="仿宋" w:eastAsia="仿宋" w:cs="仿宋"/>
          <w:color w:val="000000"/>
          <w:sz w:val="24"/>
        </w:rPr>
        <w:t>2、乙方应随同每批</w:t>
      </w:r>
      <w:r>
        <w:rPr>
          <w:rFonts w:hint="eastAsia" w:ascii="仿宋" w:hAnsi="仿宋" w:eastAsia="仿宋" w:cs="仿宋"/>
          <w:bCs/>
          <w:color w:val="000000"/>
          <w:sz w:val="24"/>
        </w:rPr>
        <w:t>材料</w:t>
      </w:r>
      <w:r>
        <w:rPr>
          <w:rFonts w:hint="eastAsia" w:ascii="仿宋" w:hAnsi="仿宋" w:eastAsia="仿宋" w:cs="仿宋"/>
          <w:color w:val="000000"/>
          <w:sz w:val="24"/>
        </w:rPr>
        <w:t>发运附一份发货物资清单、出厂质量检验合格证书等必要文件。</w:t>
      </w:r>
    </w:p>
    <w:p w14:paraId="43103934">
      <w:pPr>
        <w:spacing w:line="360" w:lineRule="auto"/>
        <w:ind w:firstLine="484" w:firstLineChars="202"/>
        <w:jc w:val="left"/>
        <w:rPr>
          <w:rFonts w:ascii="仿宋" w:hAnsi="仿宋" w:eastAsia="仿宋" w:cs="仿宋"/>
          <w:color w:val="000000"/>
          <w:sz w:val="24"/>
        </w:rPr>
      </w:pPr>
      <w:r>
        <w:rPr>
          <w:rFonts w:hint="eastAsia" w:ascii="仿宋" w:hAnsi="仿宋" w:eastAsia="仿宋" w:cs="仿宋"/>
          <w:color w:val="000000"/>
          <w:sz w:val="24"/>
        </w:rPr>
        <w:t>3、</w:t>
      </w:r>
      <w:r>
        <w:rPr>
          <w:rFonts w:hint="eastAsia" w:ascii="仿宋" w:hAnsi="仿宋" w:eastAsia="仿宋" w:cs="仿宋"/>
          <w:bCs/>
          <w:color w:val="000000"/>
          <w:sz w:val="24"/>
        </w:rPr>
        <w:t>材料</w:t>
      </w:r>
      <w:r>
        <w:rPr>
          <w:rFonts w:hint="eastAsia" w:ascii="仿宋" w:hAnsi="仿宋" w:eastAsia="仿宋" w:cs="仿宋"/>
          <w:color w:val="000000"/>
          <w:sz w:val="24"/>
        </w:rPr>
        <w:t>运抵交货地点后，甲乙双方及施工、监理单位应按乙方提供的发货</w:t>
      </w:r>
      <w:r>
        <w:rPr>
          <w:rFonts w:hint="eastAsia" w:ascii="仿宋" w:hAnsi="仿宋" w:eastAsia="仿宋" w:cs="仿宋"/>
          <w:bCs/>
          <w:color w:val="000000"/>
          <w:sz w:val="24"/>
        </w:rPr>
        <w:t>材料</w:t>
      </w:r>
      <w:r>
        <w:rPr>
          <w:rFonts w:hint="eastAsia" w:ascii="仿宋" w:hAnsi="仿宋" w:eastAsia="仿宋" w:cs="仿宋"/>
          <w:color w:val="000000"/>
          <w:sz w:val="24"/>
        </w:rPr>
        <w:t>清单对到货数量、外观、规格型号、合格证等进行核对。如发现包装破损，应作出记录并立即检查，确认是否对</w:t>
      </w:r>
      <w:r>
        <w:rPr>
          <w:rFonts w:hint="eastAsia" w:ascii="仿宋" w:hAnsi="仿宋" w:eastAsia="仿宋" w:cs="仿宋"/>
          <w:bCs/>
          <w:color w:val="000000"/>
          <w:sz w:val="24"/>
        </w:rPr>
        <w:t>材料</w:t>
      </w:r>
      <w:r>
        <w:rPr>
          <w:rFonts w:hint="eastAsia" w:ascii="仿宋" w:hAnsi="仿宋" w:eastAsia="仿宋" w:cs="仿宋"/>
          <w:color w:val="000000"/>
          <w:sz w:val="24"/>
        </w:rPr>
        <w:t>本身造成损伤。如确认对</w:t>
      </w:r>
      <w:r>
        <w:rPr>
          <w:rFonts w:hint="eastAsia" w:ascii="仿宋" w:hAnsi="仿宋" w:eastAsia="仿宋" w:cs="仿宋"/>
          <w:bCs/>
          <w:color w:val="000000"/>
          <w:sz w:val="24"/>
        </w:rPr>
        <w:t>材料</w:t>
      </w:r>
      <w:r>
        <w:rPr>
          <w:rFonts w:hint="eastAsia" w:ascii="仿宋" w:hAnsi="仿宋" w:eastAsia="仿宋" w:cs="仿宋"/>
          <w:color w:val="000000"/>
          <w:sz w:val="24"/>
        </w:rPr>
        <w:t>本身造成了损伤，乙方应及时更换被损伤的</w:t>
      </w:r>
      <w:r>
        <w:rPr>
          <w:rFonts w:hint="eastAsia" w:ascii="仿宋" w:hAnsi="仿宋" w:eastAsia="仿宋" w:cs="仿宋"/>
          <w:bCs/>
          <w:color w:val="000000"/>
          <w:sz w:val="24"/>
        </w:rPr>
        <w:t>材料</w:t>
      </w:r>
      <w:r>
        <w:rPr>
          <w:rFonts w:hint="eastAsia" w:ascii="仿宋" w:hAnsi="仿宋" w:eastAsia="仿宋" w:cs="仿宋"/>
          <w:color w:val="000000"/>
          <w:sz w:val="24"/>
        </w:rPr>
        <w:t>，或者免费进行必要的补救以达到</w:t>
      </w:r>
      <w:r>
        <w:rPr>
          <w:rFonts w:hint="eastAsia" w:ascii="仿宋" w:hAnsi="仿宋" w:eastAsia="仿宋" w:cs="仿宋"/>
          <w:bCs/>
          <w:color w:val="000000"/>
          <w:sz w:val="24"/>
        </w:rPr>
        <w:t>材料</w:t>
      </w:r>
      <w:r>
        <w:rPr>
          <w:rFonts w:hint="eastAsia" w:ascii="仿宋" w:hAnsi="仿宋" w:eastAsia="仿宋" w:cs="仿宋"/>
          <w:color w:val="000000"/>
          <w:sz w:val="24"/>
        </w:rPr>
        <w:t>出厂的标准。</w:t>
      </w:r>
    </w:p>
    <w:p w14:paraId="7277C21B">
      <w:pPr>
        <w:spacing w:line="360" w:lineRule="auto"/>
        <w:ind w:firstLine="484" w:firstLineChars="202"/>
        <w:jc w:val="left"/>
        <w:rPr>
          <w:rFonts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bCs/>
          <w:color w:val="000000"/>
          <w:sz w:val="24"/>
        </w:rPr>
        <w:t>材料</w:t>
      </w:r>
      <w:r>
        <w:rPr>
          <w:rFonts w:hint="eastAsia" w:ascii="仿宋" w:hAnsi="仿宋" w:eastAsia="仿宋" w:cs="仿宋"/>
          <w:color w:val="000000"/>
          <w:sz w:val="24"/>
        </w:rPr>
        <w:t>经验收合格后，甲方向乙方出具验收单据。此验收合格的单据不作为判定</w:t>
      </w:r>
      <w:r>
        <w:rPr>
          <w:rFonts w:hint="eastAsia" w:ascii="仿宋" w:hAnsi="仿宋" w:eastAsia="仿宋" w:cs="仿宋"/>
          <w:bCs/>
          <w:color w:val="000000"/>
          <w:sz w:val="24"/>
        </w:rPr>
        <w:t>材料</w:t>
      </w:r>
      <w:r>
        <w:rPr>
          <w:rFonts w:hint="eastAsia" w:ascii="仿宋" w:hAnsi="仿宋" w:eastAsia="仿宋" w:cs="仿宋"/>
          <w:color w:val="000000"/>
          <w:sz w:val="24"/>
        </w:rPr>
        <w:t>质量的依据。</w:t>
      </w:r>
    </w:p>
    <w:p w14:paraId="1AACAB31">
      <w:pPr>
        <w:spacing w:line="360" w:lineRule="auto"/>
        <w:ind w:firstLine="484" w:firstLineChars="202"/>
        <w:jc w:val="left"/>
        <w:rPr>
          <w:rFonts w:ascii="仿宋" w:hAnsi="仿宋" w:eastAsia="仿宋" w:cs="仿宋"/>
          <w:color w:val="000000"/>
          <w:sz w:val="24"/>
        </w:rPr>
      </w:pPr>
      <w:r>
        <w:rPr>
          <w:rFonts w:hint="eastAsia" w:ascii="仿宋" w:hAnsi="仿宋" w:eastAsia="仿宋" w:cs="仿宋"/>
          <w:color w:val="000000"/>
          <w:sz w:val="24"/>
        </w:rPr>
        <w:t>5、甲方出具验收单据后，</w:t>
      </w:r>
      <w:r>
        <w:rPr>
          <w:rFonts w:hint="eastAsia" w:ascii="仿宋" w:hAnsi="仿宋" w:eastAsia="仿宋" w:cs="仿宋"/>
          <w:bCs/>
          <w:color w:val="000000"/>
          <w:sz w:val="24"/>
        </w:rPr>
        <w:t>材料</w:t>
      </w:r>
      <w:r>
        <w:rPr>
          <w:rFonts w:hint="eastAsia" w:ascii="仿宋" w:hAnsi="仿宋" w:eastAsia="仿宋" w:cs="仿宋"/>
          <w:color w:val="000000"/>
          <w:sz w:val="24"/>
        </w:rPr>
        <w:t>所有权转移给甲方，但并不解除乙方对其</w:t>
      </w:r>
      <w:r>
        <w:rPr>
          <w:rFonts w:hint="eastAsia" w:ascii="仿宋" w:hAnsi="仿宋" w:eastAsia="仿宋" w:cs="仿宋"/>
          <w:bCs/>
          <w:color w:val="000000"/>
          <w:sz w:val="24"/>
        </w:rPr>
        <w:t>材料</w:t>
      </w:r>
      <w:r>
        <w:rPr>
          <w:rFonts w:hint="eastAsia" w:ascii="仿宋" w:hAnsi="仿宋" w:eastAsia="仿宋" w:cs="仿宋"/>
          <w:color w:val="000000"/>
          <w:sz w:val="24"/>
        </w:rPr>
        <w:t>应负的质量责任。</w:t>
      </w:r>
    </w:p>
    <w:p w14:paraId="46424B0D">
      <w:pPr>
        <w:spacing w:line="360" w:lineRule="auto"/>
        <w:ind w:firstLine="484" w:firstLineChars="202"/>
        <w:jc w:val="left"/>
        <w:rPr>
          <w:rFonts w:ascii="仿宋" w:hAnsi="仿宋" w:eastAsia="仿宋" w:cs="仿宋"/>
          <w:color w:val="000000"/>
          <w:sz w:val="24"/>
        </w:rPr>
      </w:pPr>
      <w:r>
        <w:rPr>
          <w:rFonts w:hint="eastAsia" w:ascii="仿宋" w:hAnsi="仿宋" w:eastAsia="仿宋" w:cs="仿宋"/>
          <w:color w:val="000000"/>
          <w:sz w:val="24"/>
        </w:rPr>
        <w:t>6、甲方有权对验收合格后的</w:t>
      </w:r>
      <w:r>
        <w:rPr>
          <w:rFonts w:hint="eastAsia" w:ascii="仿宋" w:hAnsi="仿宋" w:eastAsia="仿宋" w:cs="仿宋"/>
          <w:bCs/>
          <w:color w:val="000000"/>
          <w:sz w:val="24"/>
        </w:rPr>
        <w:t>材料</w:t>
      </w:r>
      <w:r>
        <w:rPr>
          <w:rFonts w:hint="eastAsia" w:ascii="仿宋" w:hAnsi="仿宋" w:eastAsia="仿宋" w:cs="仿宋"/>
          <w:color w:val="000000"/>
          <w:sz w:val="24"/>
        </w:rPr>
        <w:t>交有资质的检验部门</w:t>
      </w:r>
      <w:r>
        <w:rPr>
          <w:rFonts w:hint="eastAsia" w:ascii="仿宋" w:hAnsi="仿宋" w:eastAsia="仿宋" w:cs="仿宋"/>
          <w:color w:val="000000"/>
          <w:sz w:val="24"/>
          <w:lang w:eastAsia="zh-Hans"/>
        </w:rPr>
        <w:t>随机抽样</w:t>
      </w:r>
      <w:r>
        <w:rPr>
          <w:rFonts w:hint="eastAsia" w:ascii="仿宋" w:hAnsi="仿宋" w:eastAsia="仿宋" w:cs="仿宋"/>
          <w:color w:val="000000"/>
          <w:sz w:val="24"/>
        </w:rPr>
        <w:t>检验，</w:t>
      </w:r>
      <w:r>
        <w:rPr>
          <w:rFonts w:hint="eastAsia" w:ascii="仿宋" w:hAnsi="仿宋" w:eastAsia="仿宋" w:cs="仿宋"/>
          <w:color w:val="000000"/>
          <w:sz w:val="24"/>
          <w:lang w:eastAsia="zh-Hans"/>
        </w:rPr>
        <w:t>检验结果直接作为判定</w:t>
      </w:r>
      <w:r>
        <w:rPr>
          <w:rFonts w:hint="eastAsia" w:ascii="仿宋" w:hAnsi="仿宋" w:eastAsia="仿宋" w:cs="仿宋"/>
          <w:color w:val="000000"/>
          <w:sz w:val="24"/>
        </w:rPr>
        <w:t>乙方</w:t>
      </w:r>
      <w:r>
        <w:rPr>
          <w:rFonts w:hint="eastAsia" w:ascii="仿宋" w:hAnsi="仿宋" w:eastAsia="仿宋" w:cs="仿宋"/>
          <w:color w:val="000000"/>
          <w:sz w:val="24"/>
          <w:lang w:eastAsia="zh-Hans"/>
        </w:rPr>
        <w:t>交付</w:t>
      </w:r>
      <w:r>
        <w:rPr>
          <w:rFonts w:hint="eastAsia" w:ascii="仿宋" w:hAnsi="仿宋" w:eastAsia="仿宋" w:cs="仿宋"/>
          <w:bCs/>
          <w:color w:val="000000"/>
          <w:sz w:val="24"/>
        </w:rPr>
        <w:t>材料</w:t>
      </w:r>
      <w:r>
        <w:rPr>
          <w:rFonts w:hint="eastAsia" w:ascii="仿宋" w:hAnsi="仿宋" w:eastAsia="仿宋" w:cs="仿宋"/>
          <w:color w:val="000000"/>
          <w:sz w:val="24"/>
          <w:lang w:eastAsia="zh-Hans"/>
        </w:rPr>
        <w:t>质量是否符合约定即法律规定的依据</w:t>
      </w:r>
      <w:r>
        <w:rPr>
          <w:rFonts w:ascii="仿宋" w:hAnsi="仿宋" w:eastAsia="仿宋" w:cs="仿宋"/>
          <w:color w:val="000000"/>
          <w:sz w:val="24"/>
          <w:lang w:eastAsia="zh-Hans"/>
        </w:rPr>
        <w:t>；</w:t>
      </w:r>
      <w:r>
        <w:rPr>
          <w:rFonts w:hint="eastAsia" w:ascii="仿宋" w:hAnsi="仿宋" w:eastAsia="仿宋" w:cs="仿宋"/>
          <w:color w:val="000000"/>
          <w:sz w:val="24"/>
        </w:rPr>
        <w:t>如果任何被检测或测试的</w:t>
      </w:r>
      <w:r>
        <w:rPr>
          <w:rFonts w:hint="eastAsia" w:ascii="仿宋" w:hAnsi="仿宋" w:eastAsia="仿宋" w:cs="仿宋"/>
          <w:bCs/>
          <w:color w:val="000000"/>
          <w:sz w:val="24"/>
        </w:rPr>
        <w:t>材料</w:t>
      </w:r>
      <w:r>
        <w:rPr>
          <w:rFonts w:hint="eastAsia" w:ascii="仿宋" w:hAnsi="仿宋" w:eastAsia="仿宋" w:cs="仿宋"/>
          <w:color w:val="000000"/>
          <w:sz w:val="24"/>
        </w:rPr>
        <w:t>不能满足技术规格的要求，乙方应及时更换，或者根据甲方要求对缺陷免费进行修复以满足技术规格的要求，并承担该部分检验费用。</w:t>
      </w:r>
    </w:p>
    <w:p w14:paraId="04CD3223">
      <w:pPr>
        <w:adjustRightInd w:val="0"/>
        <w:snapToGrid w:val="0"/>
        <w:spacing w:line="360" w:lineRule="auto"/>
        <w:ind w:firstLine="484" w:firstLineChars="202"/>
        <w:jc w:val="left"/>
        <w:rPr>
          <w:rFonts w:ascii="仿宋" w:hAnsi="仿宋" w:eastAsia="仿宋" w:cs="仿宋"/>
          <w:color w:val="000000"/>
          <w:sz w:val="24"/>
        </w:rPr>
      </w:pPr>
      <w:r>
        <w:rPr>
          <w:rFonts w:hint="eastAsia" w:ascii="仿宋" w:hAnsi="仿宋" w:eastAsia="仿宋" w:cs="仿宋"/>
          <w:color w:val="000000"/>
          <w:sz w:val="24"/>
        </w:rPr>
        <w:t>7、在</w:t>
      </w:r>
      <w:r>
        <w:rPr>
          <w:rFonts w:hint="eastAsia" w:ascii="仿宋" w:hAnsi="仿宋" w:eastAsia="仿宋" w:cs="仿宋"/>
          <w:bCs/>
          <w:color w:val="000000"/>
          <w:sz w:val="24"/>
        </w:rPr>
        <w:t>材料</w:t>
      </w:r>
      <w:r>
        <w:rPr>
          <w:rFonts w:hint="eastAsia" w:ascii="仿宋" w:hAnsi="仿宋" w:eastAsia="仿宋" w:cs="仿宋"/>
          <w:color w:val="000000"/>
          <w:sz w:val="24"/>
        </w:rPr>
        <w:t>到达最终目的地后，甲方对</w:t>
      </w:r>
      <w:r>
        <w:rPr>
          <w:rFonts w:hint="eastAsia" w:ascii="仿宋" w:hAnsi="仿宋" w:eastAsia="仿宋" w:cs="仿宋"/>
          <w:bCs/>
          <w:color w:val="000000"/>
          <w:sz w:val="24"/>
        </w:rPr>
        <w:t>材料</w:t>
      </w:r>
      <w:r>
        <w:rPr>
          <w:rFonts w:hint="eastAsia" w:ascii="仿宋" w:hAnsi="仿宋" w:eastAsia="仿宋" w:cs="仿宋"/>
          <w:color w:val="000000"/>
          <w:sz w:val="24"/>
        </w:rPr>
        <w:t>进行检验、测试及必要时拒绝接受</w:t>
      </w:r>
      <w:r>
        <w:rPr>
          <w:rFonts w:hint="eastAsia" w:ascii="仿宋" w:hAnsi="仿宋" w:eastAsia="仿宋" w:cs="仿宋"/>
          <w:bCs/>
          <w:color w:val="000000"/>
          <w:sz w:val="24"/>
        </w:rPr>
        <w:t>材料</w:t>
      </w:r>
      <w:r>
        <w:rPr>
          <w:rFonts w:hint="eastAsia" w:ascii="仿宋" w:hAnsi="仿宋" w:eastAsia="仿宋" w:cs="仿宋"/>
          <w:color w:val="000000"/>
          <w:sz w:val="24"/>
        </w:rPr>
        <w:t>的权利不因</w:t>
      </w:r>
      <w:r>
        <w:rPr>
          <w:rFonts w:hint="eastAsia" w:ascii="仿宋" w:hAnsi="仿宋" w:eastAsia="仿宋" w:cs="仿宋"/>
          <w:bCs/>
          <w:color w:val="000000"/>
          <w:sz w:val="24"/>
        </w:rPr>
        <w:t>材料</w:t>
      </w:r>
      <w:r>
        <w:rPr>
          <w:rFonts w:hint="eastAsia" w:ascii="仿宋" w:hAnsi="仿宋" w:eastAsia="仿宋" w:cs="仿宋"/>
          <w:color w:val="000000"/>
          <w:sz w:val="24"/>
        </w:rPr>
        <w:t>从乙方制造厂启运前通过了甲方或其代表的检验、测试和认可而受到限制或放弃。</w:t>
      </w:r>
    </w:p>
    <w:p w14:paraId="00CCF0A2">
      <w:pPr>
        <w:adjustRightInd w:val="0"/>
        <w:snapToGrid w:val="0"/>
        <w:spacing w:line="360" w:lineRule="auto"/>
        <w:ind w:firstLine="484" w:firstLineChars="202"/>
        <w:jc w:val="left"/>
        <w:rPr>
          <w:rFonts w:ascii="仿宋" w:hAnsi="仿宋" w:eastAsia="仿宋" w:cs="仿宋"/>
          <w:bCs/>
          <w:color w:val="000000"/>
          <w:sz w:val="24"/>
        </w:rPr>
      </w:pPr>
      <w:r>
        <w:rPr>
          <w:rFonts w:hint="eastAsia" w:ascii="仿宋" w:hAnsi="仿宋" w:eastAsia="仿宋" w:cs="仿宋"/>
          <w:bCs/>
          <w:color w:val="000000"/>
          <w:sz w:val="24"/>
        </w:rPr>
        <w:t>8、交货日期: 以甲方</w:t>
      </w:r>
      <w:r>
        <w:rPr>
          <w:rFonts w:hint="eastAsia" w:ascii="仿宋" w:hAnsi="仿宋" w:eastAsia="仿宋" w:cs="仿宋"/>
          <w:bCs/>
          <w:color w:val="000000"/>
          <w:sz w:val="24"/>
          <w:u w:val="single"/>
        </w:rPr>
        <w:t xml:space="preserve"> 电话  </w:t>
      </w:r>
      <w:r>
        <w:rPr>
          <w:rFonts w:hint="eastAsia" w:ascii="仿宋" w:hAnsi="仿宋" w:eastAsia="仿宋" w:cs="仿宋"/>
          <w:bCs/>
          <w:color w:val="000000"/>
          <w:sz w:val="24"/>
        </w:rPr>
        <w:t>（电话/传真/书面）通知为准，以材料实际运送到合同指定地点并</w:t>
      </w:r>
      <w:r>
        <w:rPr>
          <w:rFonts w:hint="eastAsia" w:ascii="仿宋" w:hAnsi="仿宋" w:eastAsia="仿宋" w:cs="仿宋"/>
          <w:color w:val="000000"/>
          <w:sz w:val="24"/>
          <w:szCs w:val="28"/>
        </w:rPr>
        <w:t>由甲方指定人员签收</w:t>
      </w:r>
      <w:r>
        <w:rPr>
          <w:rFonts w:hint="eastAsia" w:ascii="仿宋" w:hAnsi="仿宋" w:eastAsia="仿宋" w:cs="仿宋"/>
          <w:bCs/>
          <w:color w:val="000000"/>
          <w:sz w:val="24"/>
        </w:rPr>
        <w:t>的日期为乙方的实际交货日期，并以此来确定是否构成逾期交货。</w:t>
      </w:r>
    </w:p>
    <w:p w14:paraId="15ADAD1A">
      <w:pPr>
        <w:tabs>
          <w:tab w:val="left" w:pos="567"/>
        </w:tabs>
        <w:adjustRightInd w:val="0"/>
        <w:snapToGrid w:val="0"/>
        <w:spacing w:line="360" w:lineRule="auto"/>
        <w:ind w:firstLine="540" w:firstLineChars="225"/>
        <w:rPr>
          <w:rFonts w:ascii="仿宋" w:hAnsi="仿宋" w:eastAsia="仿宋" w:cs="仿宋"/>
          <w:bCs/>
          <w:color w:val="000000"/>
          <w:sz w:val="24"/>
        </w:rPr>
      </w:pPr>
      <w:r>
        <w:rPr>
          <w:rFonts w:hint="eastAsia" w:ascii="仿宋" w:hAnsi="仿宋" w:eastAsia="仿宋" w:cs="仿宋"/>
          <w:bCs/>
          <w:color w:val="000000"/>
          <w:sz w:val="24"/>
        </w:rPr>
        <w:t>9、按甲方需用计划的要求，将本合同约定的材料保质、保量（乙方应具有应对施工高峰期和汛期的应急措施）、及时、齐备配套地供应到甲方指定地点。</w:t>
      </w:r>
    </w:p>
    <w:p w14:paraId="46B97617">
      <w:pPr>
        <w:tabs>
          <w:tab w:val="left" w:pos="567"/>
        </w:tabs>
        <w:adjustRightInd w:val="0"/>
        <w:snapToGrid w:val="0"/>
        <w:spacing w:line="360" w:lineRule="auto"/>
        <w:ind w:firstLine="540" w:firstLineChars="225"/>
        <w:rPr>
          <w:rFonts w:ascii="仿宋" w:hAnsi="仿宋" w:eastAsia="仿宋" w:cs="仿宋"/>
          <w:bCs/>
          <w:color w:val="000000"/>
          <w:sz w:val="24"/>
        </w:rPr>
      </w:pPr>
      <w:r>
        <w:rPr>
          <w:rFonts w:hint="eastAsia" w:ascii="仿宋" w:hAnsi="仿宋" w:eastAsia="仿宋" w:cs="仿宋"/>
          <w:bCs/>
          <w:color w:val="000000"/>
          <w:sz w:val="24"/>
        </w:rPr>
        <w:t>10、乙方应全方位保证并满足甲方的材料需要，合同执行过程中乙方不得停止供货并将产品出售给其他购货单位。</w:t>
      </w:r>
    </w:p>
    <w:p w14:paraId="670A074E">
      <w:pPr>
        <w:tabs>
          <w:tab w:val="left" w:pos="567"/>
        </w:tabs>
        <w:adjustRightInd w:val="0"/>
        <w:snapToGrid w:val="0"/>
        <w:spacing w:line="360" w:lineRule="auto"/>
        <w:ind w:firstLine="480" w:firstLineChars="200"/>
        <w:rPr>
          <w:rFonts w:ascii="仿宋" w:hAnsi="仿宋" w:eastAsia="仿宋" w:cs="仿宋"/>
          <w:bCs/>
          <w:color w:val="000000"/>
          <w:sz w:val="24"/>
          <w:u w:val="single"/>
        </w:rPr>
      </w:pPr>
      <w:r>
        <w:rPr>
          <w:rFonts w:hint="eastAsia" w:ascii="仿宋" w:hAnsi="仿宋" w:eastAsia="仿宋" w:cs="仿宋"/>
          <w:color w:val="000000"/>
          <w:sz w:val="24"/>
        </w:rPr>
        <w:t>11、</w:t>
      </w:r>
      <w:r>
        <w:rPr>
          <w:rFonts w:hint="eastAsia" w:ascii="仿宋" w:hAnsi="仿宋" w:eastAsia="仿宋" w:cs="仿宋"/>
          <w:bCs/>
          <w:color w:val="000000"/>
          <w:sz w:val="24"/>
        </w:rPr>
        <w:t>乙方应以最适宜保护材料性能、质量的运输方式运送。对于材料运送到指定地点并经验收合格之前发生的一切损坏（包括外观、性能等方面）、数量损失等均由乙方自行承担。</w:t>
      </w:r>
    </w:p>
    <w:p w14:paraId="60143752">
      <w:pPr>
        <w:tabs>
          <w:tab w:val="left" w:pos="567"/>
          <w:tab w:val="left" w:pos="720"/>
          <w:tab w:val="left" w:pos="900"/>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color w:val="000000"/>
          <w:sz w:val="24"/>
        </w:rPr>
        <w:t>12、</w:t>
      </w:r>
      <w:r>
        <w:rPr>
          <w:rFonts w:hint="eastAsia" w:ascii="仿宋" w:hAnsi="仿宋" w:eastAsia="仿宋" w:cs="仿宋"/>
          <w:bCs/>
          <w:color w:val="000000"/>
          <w:sz w:val="24"/>
        </w:rPr>
        <w:t>乙方应遵守当地政府、建设单位、甲方有关现场的通道、保安、通行证的发放以及同类项目的一切法律及规定；并应遵守可能由当地政府颁发的有关材料运送现场的时限及通道的限制规定。同时，乙方不得以不清楚工地现场的情况为借口而要求延长交货期限。</w:t>
      </w:r>
    </w:p>
    <w:p w14:paraId="16046711">
      <w:pPr>
        <w:tabs>
          <w:tab w:val="left" w:pos="567"/>
        </w:tabs>
        <w:adjustRightInd w:val="0"/>
        <w:snapToGrid w:val="0"/>
        <w:spacing w:line="360" w:lineRule="auto"/>
        <w:ind w:firstLine="480" w:firstLineChars="200"/>
        <w:rPr>
          <w:rFonts w:ascii="仿宋" w:hAnsi="仿宋" w:eastAsia="仿宋" w:cs="仿宋"/>
          <w:bCs/>
          <w:color w:val="000000"/>
          <w:sz w:val="24"/>
          <w:u w:val="single"/>
        </w:rPr>
      </w:pPr>
      <w:r>
        <w:rPr>
          <w:rFonts w:hint="eastAsia" w:ascii="仿宋" w:hAnsi="仿宋" w:eastAsia="仿宋" w:cs="仿宋"/>
          <w:color w:val="000000"/>
          <w:sz w:val="24"/>
        </w:rPr>
        <w:t>13、</w:t>
      </w:r>
      <w:r>
        <w:rPr>
          <w:rFonts w:hint="eastAsia" w:ascii="仿宋" w:hAnsi="仿宋" w:eastAsia="仿宋" w:cs="仿宋"/>
          <w:bCs/>
          <w:color w:val="000000"/>
          <w:sz w:val="24"/>
        </w:rPr>
        <w:t>乙方供应材料应根据工程进展情况需要使用前预计足够时间（必须符合甲方的要求）运抵现场，以确保甲方负责施工的工程竣工工期不会出现任何延误。</w:t>
      </w:r>
    </w:p>
    <w:p w14:paraId="3A63DDB9">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14、乙方必须配合工程需用材料计划，材料计划会在工程进行中不断修订，乙方仍须在修订后的计划时间内，及时供应符合合同质量要求的材料。</w:t>
      </w:r>
    </w:p>
    <w:p w14:paraId="2E09F54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15、乙方不得将甲方所制定的材料需用计划的更改作为要求索赔的理由。</w:t>
      </w:r>
    </w:p>
    <w:p w14:paraId="40622CFC">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16、乙方必须按甲方随时发出的通知要求的日期进行交货，若未按甲方规定时间交货，乙方将负责因此造成的损失,且甲方有权核减乙方供应量直至终止与乙方的合同。</w:t>
      </w:r>
    </w:p>
    <w:p w14:paraId="4E49E29E">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17、乙方必须对自身出入甲方现场的人员进行安全交底，对因非甲方造成的安全事故承担全部责任。</w:t>
      </w:r>
    </w:p>
    <w:p w14:paraId="3C33357F">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18、乙方进入甲方现场人员必须听从甲方管理人员的管理，进场车辆必须听从调度，遵守甲方现场文明工地等有关管理制度。对不听从甲方管理的人员、车辆，甲方有权清理出场。由此影响施工所造成的一切损失由乙方承担责任。</w:t>
      </w:r>
    </w:p>
    <w:p w14:paraId="11E9B8DB">
      <w:pPr>
        <w:widowControl/>
        <w:spacing w:line="540" w:lineRule="exact"/>
        <w:ind w:firstLine="480" w:firstLineChars="200"/>
        <w:jc w:val="left"/>
        <w:rPr>
          <w:rFonts w:ascii="宋体" w:hAnsi="宋体" w:cs="宋体"/>
          <w:kern w:val="0"/>
          <w:szCs w:val="21"/>
        </w:rPr>
      </w:pPr>
      <w:r>
        <w:rPr>
          <w:rFonts w:hint="eastAsia" w:ascii="仿宋" w:hAnsi="仿宋" w:eastAsia="仿宋" w:cs="仿宋"/>
          <w:bCs/>
          <w:color w:val="000000"/>
          <w:sz w:val="24"/>
        </w:rPr>
        <w:t>19、乙方材料运输车辆排放标准须严格按照地方主管部门相关要求及规定执行。</w:t>
      </w:r>
    </w:p>
    <w:p w14:paraId="5A1EF9EA">
      <w:pPr>
        <w:kinsoku w:val="0"/>
        <w:adjustRightInd w:val="0"/>
        <w:snapToGrid w:val="0"/>
        <w:spacing w:before="57" w:line="540" w:lineRule="exact"/>
        <w:ind w:left="536"/>
        <w:textAlignment w:val="baseline"/>
        <w:outlineLvl w:val="0"/>
        <w:rPr>
          <w:rFonts w:ascii="仿宋" w:hAnsi="仿宋" w:eastAsia="仿宋" w:cs="仿宋"/>
          <w:snapToGrid w:val="0"/>
          <w:kern w:val="0"/>
          <w:sz w:val="24"/>
        </w:rPr>
      </w:pPr>
      <w:r>
        <w:rPr>
          <w:rFonts w:ascii="仿宋" w:hAnsi="仿宋" w:eastAsia="仿宋" w:cs="仿宋"/>
          <w:b/>
          <w:bCs/>
          <w:snapToGrid w:val="0"/>
          <w:spacing w:val="-14"/>
          <w:kern w:val="0"/>
          <w:sz w:val="24"/>
        </w:rPr>
        <w:t>五</w:t>
      </w:r>
      <w:r>
        <w:rPr>
          <w:rFonts w:ascii="仿宋" w:hAnsi="仿宋" w:eastAsia="仿宋" w:cs="仿宋"/>
          <w:snapToGrid w:val="0"/>
          <w:spacing w:val="-39"/>
          <w:kern w:val="0"/>
          <w:sz w:val="24"/>
        </w:rPr>
        <w:t xml:space="preserve"> </w:t>
      </w:r>
      <w:r>
        <w:rPr>
          <w:rFonts w:ascii="仿宋" w:hAnsi="仿宋" w:eastAsia="仿宋" w:cs="仿宋"/>
          <w:b/>
          <w:bCs/>
          <w:snapToGrid w:val="0"/>
          <w:spacing w:val="-14"/>
          <w:kern w:val="0"/>
          <w:sz w:val="24"/>
        </w:rPr>
        <w:t>、货款的结算及支付方式：</w:t>
      </w:r>
    </w:p>
    <w:p w14:paraId="31800872">
      <w:pPr>
        <w:pStyle w:val="2"/>
        <w:ind w:firstLine="420" w:firstLineChars="200"/>
        <w:rPr>
          <w:rFonts w:ascii="宋体" w:hAnsi="宋体" w:cs="宋体"/>
          <w:kern w:val="0"/>
          <w:sz w:val="21"/>
          <w:szCs w:val="21"/>
        </w:rPr>
      </w:pPr>
      <w:r>
        <w:rPr>
          <w:rFonts w:ascii="宋体" w:hAnsi="宋体" w:cs="宋体"/>
          <w:kern w:val="0"/>
          <w:sz w:val="21"/>
          <w:szCs w:val="21"/>
        </w:rPr>
        <w:t>5.1</w:t>
      </w:r>
      <w:r>
        <w:rPr>
          <w:rFonts w:hint="eastAsia" w:ascii="宋体" w:hAnsi="宋体" w:cs="宋体"/>
          <w:kern w:val="0"/>
          <w:sz w:val="21"/>
          <w:szCs w:val="21"/>
        </w:rPr>
        <w:t>结算</w:t>
      </w:r>
      <w:r>
        <w:rPr>
          <w:rFonts w:ascii="宋体" w:hAnsi="宋体" w:cs="宋体"/>
          <w:kern w:val="0"/>
          <w:sz w:val="21"/>
          <w:szCs w:val="21"/>
        </w:rPr>
        <w:t>方式：</w:t>
      </w:r>
    </w:p>
    <w:p w14:paraId="53C292D5">
      <w:pPr>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（1）结算数量：①</w:t>
      </w:r>
      <w:commentRangeStart w:id="2"/>
      <w:commentRangeStart w:id="3"/>
      <w:r>
        <w:rPr>
          <w:rFonts w:hint="eastAsia" w:ascii="仿宋" w:hAnsi="仿宋" w:eastAsia="仿宋" w:cs="仿宋"/>
          <w:color w:val="000000"/>
          <w:sz w:val="24"/>
        </w:rPr>
        <w:t>盘圆（线材）</w:t>
      </w:r>
      <w:commentRangeEnd w:id="2"/>
      <w:r>
        <w:commentReference w:id="2"/>
      </w:r>
      <w:commentRangeEnd w:id="3"/>
      <w:r>
        <w:commentReference w:id="3"/>
      </w:r>
      <w:r>
        <w:rPr>
          <w:rFonts w:hint="eastAsia" w:ascii="仿宋" w:hAnsi="仿宋" w:eastAsia="仿宋" w:cs="仿宋"/>
          <w:color w:val="000000"/>
          <w:sz w:val="24"/>
        </w:rPr>
        <w:t>和盘螺过磅计量，过磅负偏差在3‰以内的，按照实际过磅重量结算</w:t>
      </w:r>
      <w:r>
        <w:rPr>
          <w:rFonts w:hint="eastAsia" w:ascii="仿宋" w:hAnsi="仿宋" w:eastAsia="仿宋" w:cs="仿宋"/>
          <w:color w:val="000000"/>
          <w:sz w:val="24"/>
          <w:lang w:eastAsia="zh-CN"/>
        </w:rPr>
        <w:t>；</w:t>
      </w:r>
      <w:r>
        <w:rPr>
          <w:rFonts w:hint="eastAsia" w:ascii="仿宋" w:hAnsi="仿宋" w:eastAsia="仿宋" w:cs="仿宋"/>
          <w:color w:val="000000"/>
          <w:sz w:val="24"/>
        </w:rPr>
        <w:t>过磅负偏差在3‰以外的，作退货处理；过磅正偏差，按照出库单上重量结算。②螺纹钢筋采取检尺理论计量和过磅计量双控，在规范允许偏差范围内的，按检尺理论计量结算：超规范允许偏差的，作退货处理。</w:t>
      </w:r>
    </w:p>
    <w:p w14:paraId="296C82C3">
      <w:pPr>
        <w:widowControl/>
        <w:spacing w:line="540" w:lineRule="exact"/>
        <w:ind w:firstLine="480" w:firstLineChars="200"/>
        <w:jc w:val="left"/>
        <w:rPr>
          <w:rFonts w:ascii="宋体" w:hAnsi="宋体" w:cs="宋体"/>
          <w:kern w:val="0"/>
          <w:szCs w:val="21"/>
        </w:rPr>
      </w:pPr>
      <w:r>
        <w:rPr>
          <w:rFonts w:hint="eastAsia" w:ascii="仿宋" w:hAnsi="仿宋" w:eastAsia="仿宋" w:cs="仿宋"/>
          <w:color w:val="000000"/>
          <w:sz w:val="24"/>
        </w:rPr>
        <w:t>（2）</w:t>
      </w:r>
      <w:r>
        <w:rPr>
          <w:rFonts w:hint="eastAsia" w:ascii="仿宋" w:hAnsi="仿宋" w:eastAsia="仿宋" w:cs="仿宋"/>
          <w:color w:val="000000"/>
          <w:sz w:val="24"/>
          <w:lang w:val="en-US" w:eastAsia="zh-CN"/>
        </w:rPr>
        <w:t>结算单价：</w:t>
      </w:r>
      <w:r>
        <w:rPr>
          <w:rFonts w:hint="eastAsia" w:ascii="仿宋" w:hAnsi="仿宋" w:eastAsia="仿宋" w:cs="仿宋"/>
          <w:color w:val="000000"/>
          <w:sz w:val="24"/>
        </w:rPr>
        <w:t>以实际收货日期当日我的钢铁网（成都地区）对应价格下浮X元作为结算单价，如收货当日网站无价格，以此前第一个有价格日公布的价格作为结算单价的计算基数。如收货当日网站公布多次价格，则以收货当日网站公布最低价格作为结算单价的计算基数。如收货当日网站无对应厂家或规格价格，则以收货当日网站公布同规格最低价格作为结算单价的计算基数。</w:t>
      </w:r>
    </w:p>
    <w:p w14:paraId="0BF960CA">
      <w:pPr>
        <w:widowControl/>
        <w:spacing w:line="540" w:lineRule="exact"/>
        <w:ind w:firstLine="420" w:firstLineChars="200"/>
        <w:jc w:val="left"/>
        <w:rPr>
          <w:rFonts w:ascii="宋体" w:hAnsi="宋体" w:cs="宋体"/>
          <w:kern w:val="0"/>
          <w:szCs w:val="21"/>
        </w:rPr>
      </w:pPr>
      <w:r>
        <w:rPr>
          <w:rFonts w:ascii="宋体" w:hAnsi="宋体" w:cs="宋体"/>
          <w:kern w:val="0"/>
          <w:szCs w:val="21"/>
        </w:rPr>
        <w:t>5.2合同价款的支付：</w:t>
      </w:r>
    </w:p>
    <w:p w14:paraId="54746349">
      <w:pPr>
        <w:widowControl/>
        <w:spacing w:line="540" w:lineRule="exact"/>
        <w:ind w:firstLine="420" w:firstLineChars="200"/>
        <w:jc w:val="left"/>
        <w:rPr>
          <w:rFonts w:ascii="宋体" w:hAnsi="宋体" w:cs="宋体"/>
          <w:kern w:val="0"/>
          <w:szCs w:val="21"/>
        </w:rPr>
      </w:pPr>
      <w:r>
        <w:rPr>
          <w:rFonts w:ascii="宋体" w:hAnsi="宋体" w:cs="宋体"/>
          <w:kern w:val="0"/>
          <w:szCs w:val="21"/>
        </w:rPr>
        <w:t>1、付款方式</w:t>
      </w:r>
    </w:p>
    <w:p w14:paraId="4C2B3A6E">
      <w:pPr>
        <w:widowControl/>
        <w:spacing w:line="540" w:lineRule="exact"/>
        <w:ind w:firstLine="420" w:firstLineChars="200"/>
        <w:jc w:val="left"/>
        <w:rPr>
          <w:rFonts w:ascii="宋体" w:hAnsi="宋体" w:cs="宋体"/>
          <w:kern w:val="0"/>
          <w:szCs w:val="21"/>
        </w:rPr>
      </w:pPr>
      <w:r>
        <w:rPr>
          <w:rFonts w:ascii="宋体" w:hAnsi="宋体" w:cs="宋体"/>
          <w:kern w:val="0"/>
          <w:szCs w:val="21"/>
        </w:rPr>
        <w:t>（</w:t>
      </w:r>
      <w:r>
        <w:rPr>
          <w:rFonts w:hint="eastAsia" w:ascii="宋体" w:hAnsi="宋体" w:cs="宋体"/>
          <w:kern w:val="0"/>
          <w:szCs w:val="21"/>
        </w:rPr>
        <w:t>1</w:t>
      </w:r>
      <w:r>
        <w:rPr>
          <w:rFonts w:ascii="宋体" w:hAnsi="宋体" w:cs="宋体"/>
          <w:kern w:val="0"/>
          <w:szCs w:val="21"/>
        </w:rPr>
        <w:t>）</w:t>
      </w:r>
      <w:r>
        <w:rPr>
          <w:rFonts w:hint="eastAsia" w:ascii="仿宋" w:hAnsi="仿宋" w:eastAsia="仿宋" w:cs="仿宋"/>
          <w:bCs/>
          <w:sz w:val="24"/>
        </w:rPr>
        <w:t>采取滚动付款方式，乙方每月25日前将该月度所供钢筋相关资料报甲方，甲方核对资料后，于第二月最后一日前支付实际月结算款金额的50%给乙方，第三月最后一日前支付第一月结算款金额剩余的50%和第二月结算款金额的50%，并扣除应扣款项，后续月份以此类推。</w:t>
      </w:r>
    </w:p>
    <w:p w14:paraId="0668350C">
      <w:pPr>
        <w:widowControl/>
        <w:spacing w:line="540" w:lineRule="exact"/>
        <w:ind w:firstLine="420" w:firstLineChars="200"/>
        <w:jc w:val="left"/>
        <w:rPr>
          <w:rFonts w:ascii="宋体" w:hAnsi="宋体" w:cs="宋体"/>
          <w:kern w:val="0"/>
          <w:szCs w:val="21"/>
        </w:rPr>
      </w:pPr>
      <w:r>
        <w:rPr>
          <w:rFonts w:ascii="宋体" w:hAnsi="宋体" w:cs="宋体"/>
          <w:kern w:val="0"/>
          <w:szCs w:val="21"/>
        </w:rPr>
        <w:t>（2）</w:t>
      </w:r>
      <w:r>
        <w:rPr>
          <w:rFonts w:hint="eastAsia" w:ascii="仿宋" w:hAnsi="仿宋" w:eastAsia="仿宋" w:cs="仿宋"/>
          <w:bCs/>
          <w:color w:val="000000"/>
          <w:sz w:val="24"/>
        </w:rPr>
        <w:t>甲方采取银行转账、银承、商票、应收账款电子凭证等方式向乙方支付货款，且甲方不承担贴现费用，由乙方自理。</w:t>
      </w:r>
    </w:p>
    <w:p w14:paraId="7D873D38">
      <w:pPr>
        <w:widowControl/>
        <w:spacing w:line="540" w:lineRule="exact"/>
        <w:ind w:firstLine="420" w:firstLineChars="200"/>
        <w:jc w:val="left"/>
        <w:rPr>
          <w:rFonts w:ascii="宋体" w:hAnsi="宋体" w:cs="宋体"/>
          <w:kern w:val="0"/>
          <w:szCs w:val="21"/>
        </w:rPr>
      </w:pPr>
      <w:r>
        <w:rPr>
          <w:rFonts w:ascii="宋体" w:hAnsi="宋体" w:cs="宋体"/>
          <w:kern w:val="0"/>
          <w:szCs w:val="21"/>
        </w:rPr>
        <w:t>（3）</w:t>
      </w:r>
      <w:r>
        <w:rPr>
          <w:rFonts w:hint="eastAsia" w:ascii="仿宋" w:hAnsi="仿宋" w:eastAsia="仿宋" w:cs="仿宋"/>
          <w:bCs/>
          <w:color w:val="000000"/>
          <w:sz w:val="24"/>
        </w:rPr>
        <w:t>甲方支付款项前，乙方须先行向甲方提供等额、合法且有效的增值税专用发票及请款申请，否则，甲方有权拒绝付款且不承担延迟履行的法律责任。</w:t>
      </w:r>
    </w:p>
    <w:p w14:paraId="749637B6">
      <w:pPr>
        <w:tabs>
          <w:tab w:val="left" w:pos="567"/>
        </w:tabs>
        <w:adjustRightInd w:val="0"/>
        <w:snapToGrid w:val="0"/>
        <w:spacing w:line="360" w:lineRule="auto"/>
        <w:ind w:firstLine="480" w:firstLineChars="200"/>
        <w:rPr>
          <w:rFonts w:ascii="仿宋" w:hAnsi="仿宋" w:eastAsia="仿宋" w:cs="仿宋"/>
          <w:bCs/>
          <w:color w:val="000000"/>
          <w:sz w:val="24"/>
        </w:rPr>
      </w:pPr>
      <w:r>
        <w:rPr>
          <w:rFonts w:ascii="仿宋" w:hAnsi="仿宋" w:eastAsia="仿宋" w:cs="仿宋"/>
          <w:bCs/>
          <w:color w:val="000000"/>
          <w:sz w:val="24"/>
        </w:rPr>
        <w:t>3、发票</w:t>
      </w:r>
    </w:p>
    <w:p w14:paraId="06319DF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3.1乙方属于以下第</w:t>
      </w:r>
      <w:r>
        <w:rPr>
          <w:rFonts w:hint="eastAsia" w:ascii="仿宋" w:hAnsi="仿宋" w:eastAsia="仿宋" w:cs="仿宋"/>
          <w:bCs/>
          <w:color w:val="000000"/>
          <w:sz w:val="24"/>
          <w:u w:val="single"/>
        </w:rPr>
        <w:t>（ ）</w:t>
      </w:r>
      <w:r>
        <w:rPr>
          <w:rFonts w:hint="eastAsia" w:ascii="仿宋" w:hAnsi="仿宋" w:eastAsia="仿宋" w:cs="仿宋"/>
          <w:bCs/>
          <w:color w:val="000000"/>
          <w:sz w:val="24"/>
        </w:rPr>
        <w:t>种纳税人：</w:t>
      </w:r>
    </w:p>
    <w:p w14:paraId="2E2ADF28">
      <w:pPr>
        <w:tabs>
          <w:tab w:val="left" w:pos="567"/>
        </w:tabs>
        <w:adjustRightInd w:val="0"/>
        <w:snapToGrid w:val="0"/>
        <w:spacing w:line="360" w:lineRule="auto"/>
        <w:ind w:firstLine="840" w:firstLineChars="350"/>
        <w:rPr>
          <w:rFonts w:ascii="仿宋" w:hAnsi="仿宋" w:eastAsia="仿宋" w:cs="仿宋"/>
          <w:bCs/>
          <w:color w:val="000000"/>
          <w:sz w:val="24"/>
        </w:rPr>
      </w:pPr>
      <w:r>
        <w:rPr>
          <w:rFonts w:hint="eastAsia" w:ascii="仿宋" w:hAnsi="仿宋" w:eastAsia="仿宋" w:cs="仿宋"/>
          <w:bCs/>
          <w:color w:val="000000"/>
          <w:sz w:val="24"/>
        </w:rPr>
        <w:t xml:space="preserve">（1）一般纳税人    （2）小规模纳税人   </w:t>
      </w:r>
    </w:p>
    <w:p w14:paraId="466D2793">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3.2乙方提供以下第</w:t>
      </w:r>
      <w:r>
        <w:rPr>
          <w:rFonts w:hint="eastAsia" w:ascii="仿宋" w:hAnsi="仿宋" w:eastAsia="仿宋" w:cs="仿宋"/>
          <w:bCs/>
          <w:color w:val="000000"/>
          <w:sz w:val="24"/>
          <w:u w:val="single"/>
        </w:rPr>
        <w:t>（ ）</w:t>
      </w:r>
      <w:r>
        <w:rPr>
          <w:rFonts w:hint="eastAsia" w:ascii="仿宋" w:hAnsi="仿宋" w:eastAsia="仿宋" w:cs="仿宋"/>
          <w:bCs/>
          <w:color w:val="000000"/>
          <w:sz w:val="24"/>
        </w:rPr>
        <w:t>种发票。</w:t>
      </w:r>
    </w:p>
    <w:p w14:paraId="79B2A4DD">
      <w:pPr>
        <w:tabs>
          <w:tab w:val="left" w:pos="567"/>
        </w:tabs>
        <w:adjustRightInd w:val="0"/>
        <w:snapToGrid w:val="0"/>
        <w:spacing w:line="360" w:lineRule="auto"/>
        <w:ind w:firstLine="840" w:firstLineChars="350"/>
        <w:rPr>
          <w:rFonts w:ascii="仿宋" w:hAnsi="仿宋" w:eastAsia="仿宋" w:cs="仿宋"/>
          <w:bCs/>
          <w:color w:val="000000"/>
          <w:sz w:val="24"/>
        </w:rPr>
      </w:pPr>
      <w:r>
        <w:rPr>
          <w:rFonts w:hint="eastAsia" w:ascii="仿宋" w:hAnsi="仿宋" w:eastAsia="仿宋" w:cs="仿宋"/>
          <w:bCs/>
          <w:color w:val="000000"/>
          <w:sz w:val="24"/>
        </w:rPr>
        <w:t>（1）提供税率为</w:t>
      </w:r>
      <w:r>
        <w:rPr>
          <w:rFonts w:hint="eastAsia" w:ascii="仿宋" w:hAnsi="仿宋" w:eastAsia="仿宋" w:cs="仿宋"/>
          <w:bCs/>
          <w:color w:val="000000"/>
          <w:sz w:val="24"/>
          <w:u w:val="single"/>
        </w:rPr>
        <w:t xml:space="preserve"> 13 </w:t>
      </w:r>
      <w:r>
        <w:rPr>
          <w:rFonts w:hint="eastAsia" w:ascii="仿宋" w:hAnsi="仿宋" w:eastAsia="仿宋" w:cs="仿宋"/>
          <w:bCs/>
          <w:color w:val="000000"/>
          <w:sz w:val="24"/>
        </w:rPr>
        <w:t>%的增值税专用发票；</w:t>
      </w:r>
    </w:p>
    <w:p w14:paraId="57BD0984">
      <w:pPr>
        <w:tabs>
          <w:tab w:val="left" w:pos="567"/>
        </w:tabs>
        <w:adjustRightInd w:val="0"/>
        <w:snapToGrid w:val="0"/>
        <w:spacing w:line="360" w:lineRule="auto"/>
        <w:ind w:firstLine="840" w:firstLineChars="350"/>
        <w:rPr>
          <w:rFonts w:ascii="仿宋" w:hAnsi="仿宋" w:eastAsia="仿宋" w:cs="仿宋"/>
          <w:bCs/>
          <w:color w:val="000000"/>
          <w:sz w:val="24"/>
        </w:rPr>
      </w:pPr>
      <w:r>
        <w:rPr>
          <w:rFonts w:hint="eastAsia" w:ascii="仿宋" w:hAnsi="仿宋" w:eastAsia="仿宋" w:cs="仿宋"/>
          <w:bCs/>
          <w:color w:val="000000"/>
          <w:sz w:val="24"/>
        </w:rPr>
        <w:t>（2）提供税率为</w:t>
      </w:r>
      <w:r>
        <w:rPr>
          <w:rFonts w:hint="eastAsia" w:ascii="仿宋" w:hAnsi="仿宋" w:eastAsia="仿宋" w:cs="仿宋"/>
          <w:bCs/>
          <w:color w:val="000000"/>
          <w:sz w:val="24"/>
          <w:u w:val="single"/>
        </w:rPr>
        <w:t xml:space="preserve"> 3 </w:t>
      </w:r>
      <w:r>
        <w:rPr>
          <w:rFonts w:hint="eastAsia" w:ascii="仿宋" w:hAnsi="仿宋" w:eastAsia="仿宋" w:cs="仿宋"/>
          <w:bCs/>
          <w:color w:val="000000"/>
          <w:sz w:val="24"/>
        </w:rPr>
        <w:t>%的增值税普通发票。</w:t>
      </w:r>
    </w:p>
    <w:p w14:paraId="5B739054">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3.3乙方在向甲方申请付款前，应提供与甲方确认付款金额等额的合法、有效、完整、准确的增值税发票。若乙方提供的发票不符合要求的，甲方有权拒收增值税发票，并有权暂停支付相应款项，乙方不得以此为由中止履行合同的义务。如因乙方不能按期提供发票或提供的发票不符合要求而导致付款延期的，由其自行承担后果，甲方不承担任何责任。</w:t>
      </w:r>
    </w:p>
    <w:p w14:paraId="10F19670">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3.4 若乙方未按上述约定向甲方开具足额增值税发票或因乙方原因导致提供的增值税发票甲方不能认证、抵扣的，乙方应按甲方要求采取补救措施，同时，甲方有权要求乙方支付本合同暂定总价的0.5%的违约金并承担甲方未能抵扣而产生的全部税费。</w:t>
      </w:r>
    </w:p>
    <w:p w14:paraId="17710BF4">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3.5如果甲方丢失增值税专用发票发票联和抵扣联，则乙方必须向甲方提供专用发票记账联复印件和乙方主管税务机关出具的《丢失增值税专用发票已报税证明单》。</w:t>
      </w:r>
    </w:p>
    <w:p w14:paraId="58F56008">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3.6若乙方纳税人身份与合同约定不符或者计税方式发生变化，并导致甲方可抵扣的进项税额减少或被税务机关要求补缴税款的，则减少的进项税额或补缴的税款应由乙方承担，甲方有权从乙方货款中扣除。</w:t>
      </w:r>
    </w:p>
    <w:p w14:paraId="0F71D066">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3.7若甲方从合同价款中扣除了违约金、损失赔偿额等款项的，乙方仍应按扣除前的合同金额开具增值税发票。</w:t>
      </w:r>
    </w:p>
    <w:p w14:paraId="741CBA28">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3.8增值税发票开票信息</w:t>
      </w:r>
    </w:p>
    <w:p w14:paraId="70E7F091">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1）甲方增值税发票开票信息</w:t>
      </w:r>
    </w:p>
    <w:p w14:paraId="0AFB34EE">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企业名称：</w:t>
      </w:r>
    </w:p>
    <w:p w14:paraId="1139A517">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纳税人识别号：</w:t>
      </w:r>
    </w:p>
    <w:p w14:paraId="2397B2CD">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银行账户：</w:t>
      </w:r>
    </w:p>
    <w:p w14:paraId="2FBCBC8E">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开户银行：</w:t>
      </w:r>
    </w:p>
    <w:p w14:paraId="286E940F">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地址：</w:t>
      </w:r>
    </w:p>
    <w:p w14:paraId="012FD7EB">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电话：/</w:t>
      </w:r>
      <w:r>
        <w:rPr>
          <w:rFonts w:ascii="仿宋" w:hAnsi="仿宋" w:eastAsia="仿宋" w:cs="仿宋"/>
          <w:bCs/>
          <w:color w:val="000000"/>
          <w:sz w:val="24"/>
        </w:rPr>
        <w:t>；</w:t>
      </w:r>
    </w:p>
    <w:p w14:paraId="2B6E8831">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2）乙方增值税发票开票信息</w:t>
      </w:r>
    </w:p>
    <w:p w14:paraId="511477F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企业名称：</w:t>
      </w:r>
    </w:p>
    <w:p w14:paraId="268A391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纳税人识别号：</w:t>
      </w:r>
    </w:p>
    <w:p w14:paraId="35C96742">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银行账户：</w:t>
      </w:r>
    </w:p>
    <w:p w14:paraId="59C688CD">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开户银行：</w:t>
      </w:r>
    </w:p>
    <w:p w14:paraId="4FC177C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地址：</w:t>
      </w:r>
    </w:p>
    <w:p w14:paraId="1D173F58">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电话：</w:t>
      </w:r>
    </w:p>
    <w:p w14:paraId="4B2C04A6">
      <w:pPr>
        <w:tabs>
          <w:tab w:val="left" w:pos="567"/>
        </w:tabs>
        <w:adjustRightInd w:val="0"/>
        <w:snapToGrid w:val="0"/>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六、材料验收</w:t>
      </w:r>
    </w:p>
    <w:p w14:paraId="52AE4CD8">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甲方有权利对进场的材料进行各种形式的检验，乙方必须充分配合，且检验结果直接作为判定乙方交付产品质量的依据。检验费由乙方垫付，如检验不合格，检验费用由乙方承担；如检验合格，检验费用由甲方承担。</w:t>
      </w:r>
    </w:p>
    <w:p w14:paraId="6F49D7CA">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2、乙方必须在交货前对材料的品质、规格等作细致的检验，材料到工地现场卸车后，如发现其技术规格、性能与合同或甲方发出的供货单上的规格不符，质量低劣及受损坏等情况，应按以下情况分别处理：</w:t>
      </w:r>
    </w:p>
    <w:p w14:paraId="199EAAE5">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（1）材料的规格、质量等级与要求不符，甲方可拒绝接收，由乙方自费运出施工现场并重新采购供货，乙方承担重新采购供货的经济支出及对因此造成的甲方及工程损失负责赔偿。</w:t>
      </w:r>
    </w:p>
    <w:p w14:paraId="6AFD0D0F">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（2）因时间晚于甲方通知乙方的计划进货日期的，乙方须承担因此造成的甲方延误工期损失及其他因此可能发生的损失。</w:t>
      </w:r>
    </w:p>
    <w:p w14:paraId="69E73A0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3、乙方负责提供给甲方所需材料的质量保证书、合格证，并由甲方指定负责验收人在送货单上签字作为收货依据。</w:t>
      </w:r>
    </w:p>
    <w:p w14:paraId="4270B0B3">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bCs/>
          <w:color w:val="000000"/>
          <w:sz w:val="24"/>
        </w:rPr>
        <w:t>七、违约责任</w:t>
      </w:r>
    </w:p>
    <w:p w14:paraId="4ED973B8">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 xml:space="preserve">1、本合同履行过程中，乙方无正当理由不能按照合同规定或进度计划的要求按时交货，应在相关情况发生后12小时内以传真、电报、电传等书面形式将拖延的事实、原因以及可能拖延的期限和理由通知甲方。甲方在收到乙方通知后，有权视具体情况决定采取如下方式之一进行处理： </w:t>
      </w:r>
    </w:p>
    <w:p w14:paraId="36B6F52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w:t>
      </w:r>
      <w:r>
        <w:rPr>
          <w:rFonts w:hint="eastAsia" w:ascii="仿宋" w:hAnsi="仿宋" w:eastAsia="仿宋" w:cs="仿宋"/>
          <w:bCs/>
          <w:color w:val="000000"/>
          <w:sz w:val="24"/>
          <w:lang w:eastAsia="zh-Hans"/>
        </w:rPr>
        <w:t>有甲方书面确认的</w:t>
      </w:r>
      <w:r>
        <w:rPr>
          <w:rFonts w:hint="eastAsia" w:ascii="仿宋" w:hAnsi="仿宋" w:eastAsia="仿宋" w:cs="仿宋"/>
          <w:bCs/>
          <w:color w:val="000000"/>
          <w:sz w:val="24"/>
        </w:rPr>
        <w:t>变更、修改合同</w:t>
      </w:r>
      <w:r>
        <w:rPr>
          <w:rFonts w:hint="eastAsia" w:ascii="仿宋" w:hAnsi="仿宋" w:eastAsia="仿宋" w:cs="仿宋"/>
          <w:bCs/>
          <w:color w:val="000000"/>
          <w:sz w:val="24"/>
          <w:lang w:eastAsia="zh-Hans"/>
        </w:rPr>
        <w:t>内容的</w:t>
      </w:r>
      <w:r>
        <w:rPr>
          <w:rFonts w:hint="eastAsia" w:ascii="仿宋" w:hAnsi="仿宋" w:eastAsia="仿宋" w:cs="仿宋"/>
          <w:bCs/>
          <w:color w:val="000000"/>
          <w:sz w:val="24"/>
        </w:rPr>
        <w:t>，</w:t>
      </w:r>
      <w:r>
        <w:rPr>
          <w:rFonts w:hint="eastAsia" w:ascii="仿宋" w:hAnsi="仿宋" w:eastAsia="仿宋" w:cs="仿宋"/>
          <w:bCs/>
          <w:color w:val="000000"/>
          <w:sz w:val="24"/>
          <w:lang w:eastAsia="zh-Hans"/>
        </w:rPr>
        <w:t>按照甲方书面确认相应</w:t>
      </w:r>
      <w:r>
        <w:rPr>
          <w:rFonts w:hint="eastAsia" w:ascii="仿宋" w:hAnsi="仿宋" w:eastAsia="仿宋" w:cs="仿宋"/>
          <w:bCs/>
          <w:color w:val="000000"/>
          <w:sz w:val="24"/>
        </w:rPr>
        <w:t>延长交货时间；</w:t>
      </w:r>
    </w:p>
    <w:p w14:paraId="1A49E06A">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（2）解除或部分解除合同，另行采购相关货物。</w:t>
      </w:r>
    </w:p>
    <w:p w14:paraId="1B5133CB">
      <w:pPr>
        <w:tabs>
          <w:tab w:val="left" w:pos="567"/>
        </w:tabs>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bCs/>
          <w:color w:val="000000"/>
          <w:sz w:val="24"/>
        </w:rPr>
        <w:t>无论采取何种方式，除本合同约定的不可抗力外，乙方均应承担相应的误期违约责任，并赔偿由此给甲方造成的一切损失。</w:t>
      </w:r>
      <w:r>
        <w:rPr>
          <w:rFonts w:hint="eastAsia" w:ascii="仿宋" w:hAnsi="仿宋" w:eastAsia="仿宋" w:cs="仿宋"/>
          <w:color w:val="000000"/>
          <w:sz w:val="24"/>
        </w:rPr>
        <w:t>误期违约金比率为:每迟交1日,按合同暂定总金额的1%计算；误期违约金最高不超过合同暂定总金额的10%。</w:t>
      </w:r>
    </w:p>
    <w:p w14:paraId="783C106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在甲方另行采购部分或全部货物的情况下，乙方承担由此造成的价格差额，该差额为以下费用之较高者：</w:t>
      </w:r>
    </w:p>
    <w:p w14:paraId="695CBD4E">
      <w:pPr>
        <w:tabs>
          <w:tab w:val="left" w:pos="567"/>
        </w:tabs>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bCs/>
          <w:color w:val="000000"/>
          <w:sz w:val="24"/>
        </w:rPr>
        <w:t>（1）</w:t>
      </w:r>
      <w:r>
        <w:rPr>
          <w:rFonts w:hint="eastAsia" w:ascii="仿宋" w:hAnsi="仿宋" w:eastAsia="仿宋" w:cs="仿宋"/>
          <w:color w:val="000000"/>
          <w:sz w:val="24"/>
        </w:rPr>
        <w:t>当前市场价与相应合同价格之间的差额；</w:t>
      </w:r>
    </w:p>
    <w:p w14:paraId="6C468A5B">
      <w:pPr>
        <w:tabs>
          <w:tab w:val="left" w:pos="567"/>
        </w:tabs>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bCs/>
          <w:color w:val="000000"/>
          <w:sz w:val="24"/>
        </w:rPr>
        <w:t>（2）</w:t>
      </w:r>
      <w:r>
        <w:rPr>
          <w:rFonts w:hint="eastAsia" w:ascii="仿宋" w:hAnsi="仿宋" w:eastAsia="仿宋" w:cs="仿宋"/>
          <w:color w:val="000000"/>
          <w:sz w:val="24"/>
        </w:rPr>
        <w:t>甲方在接受货物时发生的实际费用与本合同价格之间的差额。</w:t>
      </w:r>
    </w:p>
    <w:p w14:paraId="6FCCC3FD">
      <w:pPr>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误期违约金从甲方应向乙方支付的合同价款中扣除，不足部分另行追偿。</w:t>
      </w:r>
    </w:p>
    <w:p w14:paraId="5F24BE2D">
      <w:pPr>
        <w:adjustRightInd w:val="0"/>
        <w:snapToGrid w:val="0"/>
        <w:spacing w:line="360" w:lineRule="auto"/>
        <w:ind w:firstLine="480" w:firstLineChars="200"/>
        <w:rPr>
          <w:rFonts w:ascii="仿宋" w:hAnsi="仿宋" w:eastAsia="仿宋" w:cs="仿宋"/>
          <w:b/>
          <w:bCs/>
          <w:color w:val="000000"/>
          <w:sz w:val="24"/>
        </w:rPr>
      </w:pPr>
      <w:r>
        <w:rPr>
          <w:rFonts w:hint="eastAsia" w:ascii="仿宋" w:hAnsi="仿宋" w:eastAsia="仿宋" w:cs="仿宋"/>
          <w:color w:val="000000"/>
          <w:sz w:val="24"/>
        </w:rPr>
        <w:t>2、甲方不按时支付货款,将按照拖延支付货款期间的</w:t>
      </w:r>
      <w:r>
        <w:rPr>
          <w:rFonts w:ascii="仿宋" w:hAnsi="仿宋" w:eastAsia="仿宋" w:cs="仿宋"/>
          <w:color w:val="000000"/>
          <w:sz w:val="24"/>
        </w:rPr>
        <w:t>1</w:t>
      </w:r>
      <w:r>
        <w:rPr>
          <w:rFonts w:hint="eastAsia" w:ascii="仿宋" w:hAnsi="仿宋" w:eastAsia="仿宋" w:cs="仿宋"/>
          <w:color w:val="000000"/>
          <w:sz w:val="24"/>
          <w:lang w:eastAsia="zh-Hans"/>
        </w:rPr>
        <w:t>年期贷款市场报价</w:t>
      </w:r>
      <w:r>
        <w:rPr>
          <w:rFonts w:hint="eastAsia" w:ascii="仿宋" w:hAnsi="仿宋" w:eastAsia="仿宋" w:cs="仿宋"/>
          <w:color w:val="000000"/>
          <w:sz w:val="24"/>
        </w:rPr>
        <w:t>利率向乙方承担违约责任。</w:t>
      </w:r>
    </w:p>
    <w:p w14:paraId="0A0CD0D5">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3、合同签订后，乙方不能履约或不能全部履约，甲方有权解除合同，并要求乙方赔偿因此而造成甲方的一切损失。</w:t>
      </w:r>
    </w:p>
    <w:p w14:paraId="38BD0B2E">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4、乙方所交物资的品种、型号、规格不符合合同规定或者甲方另行发给乙方通知的，如果甲方同意利用，双方协商</w:t>
      </w:r>
      <w:r>
        <w:rPr>
          <w:rFonts w:hint="eastAsia" w:ascii="仿宋" w:hAnsi="仿宋" w:eastAsia="仿宋" w:cs="仿宋"/>
          <w:bCs/>
          <w:color w:val="000000"/>
          <w:sz w:val="24"/>
          <w:lang w:eastAsia="zh-Hans"/>
        </w:rPr>
        <w:t>书面</w:t>
      </w:r>
      <w:r>
        <w:rPr>
          <w:rFonts w:hint="eastAsia" w:ascii="仿宋" w:hAnsi="仿宋" w:eastAsia="仿宋" w:cs="仿宋"/>
          <w:bCs/>
          <w:color w:val="000000"/>
          <w:sz w:val="24"/>
        </w:rPr>
        <w:t>定价；如果甲方不能利用或者不同意利用或者双方对于价格不能协商一致的，乙方应负责按甲方要求的时间予以退换，并承担由此造成甲方费用增加、工期延误等损失；如不能予以退换的，按不能交货处理。</w:t>
      </w:r>
    </w:p>
    <w:p w14:paraId="592EB4CE">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5、对于因乙方运输方式不合理造成货物到达指定地点之后货物的损失或丢失，乙方应承担全部责任。</w:t>
      </w:r>
    </w:p>
    <w:p w14:paraId="32FA6121">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6、乙方对甲方造成的经济损失，甲方有权从乙方的余款中扣除，余款不足抵补损失时，应由乙方补齐差额部分。</w:t>
      </w:r>
    </w:p>
    <w:p w14:paraId="068AEA98">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7、乙方因物资包装不符合合同规定，必须返修或重新包装的，乙方应负责返修或重新包装，并承担支出的费用。甲方不要求返修或重新包装而要求赔偿损失的，乙方应当偿付甲方该不合格包装物低于合格包装物的价值部分。因包装不符合规定造成货物损坏或灭失的，乙方应当负责赔偿。</w:t>
      </w:r>
    </w:p>
    <w:p w14:paraId="68715ED5">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8、乙方装卸、运输过程中的一切人员、机械、车辆安全，均全部由乙方承担，乙方应按国家及地方规定办理相关手续及各类保险、责任自负。</w:t>
      </w:r>
    </w:p>
    <w:p w14:paraId="585B19CA">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9、乙方装卸、运输中应做相应的环保措施（符合国家环保要求），因环保造成的一切罚款由乙方自行承担。</w:t>
      </w:r>
    </w:p>
    <w:p w14:paraId="087B7964">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10、乙方应保证其对货物具有所有权或受委托代理销售权，并向甲方出具相关凭证。乙方亦保证交付的货物不附有任何担保权或其他留置权。如第三方向甲方主张任何权利，乙方负责与第三方交涉并承担由此引起的一切法律责任和费用及赔偿甲方的一切损失。</w:t>
      </w:r>
    </w:p>
    <w:p w14:paraId="0D3F200C">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 xml:space="preserve">11、因乙方原因导致法院、仲裁委、公安局等政府部门向甲方出具协助执行通知书等法律文书或因乙方对外发生诉讼或仲裁案件，而对本项目产生影响的，甲方有权解除合同，并且乙方应立即退场，否则乙方需向甲方承担合同暂定总金额的5%的违约金。  </w:t>
      </w:r>
    </w:p>
    <w:p w14:paraId="1E9D2612">
      <w:pPr>
        <w:tabs>
          <w:tab w:val="left" w:pos="567"/>
        </w:tabs>
        <w:adjustRightInd w:val="0"/>
        <w:snapToGrid w:val="0"/>
        <w:spacing w:line="360" w:lineRule="auto"/>
        <w:ind w:firstLine="420" w:firstLineChars="200"/>
        <w:rPr>
          <w:rFonts w:ascii="仿宋" w:hAnsi="仿宋" w:eastAsia="仿宋" w:cs="仿宋"/>
          <w:bCs/>
          <w:color w:val="000000"/>
          <w:sz w:val="24"/>
        </w:rPr>
      </w:pPr>
      <w:r>
        <w:rPr>
          <w:rFonts w:hint="eastAsia"/>
        </w:rPr>
        <w:t>1</w:t>
      </w:r>
      <w:r>
        <w:rPr>
          <w:rFonts w:hint="eastAsia" w:ascii="Calibri"/>
        </w:rPr>
        <w:t>2</w:t>
      </w:r>
      <w:r>
        <w:rPr>
          <w:rFonts w:hint="eastAsia"/>
        </w:rPr>
        <w:t>、</w:t>
      </w:r>
      <w:r>
        <w:rPr>
          <w:rFonts w:hint="eastAsia" w:ascii="仿宋" w:hAnsi="仿宋" w:eastAsia="仿宋" w:cs="仿宋"/>
          <w:bCs/>
          <w:color w:val="000000"/>
          <w:sz w:val="24"/>
        </w:rPr>
        <w:t>乙方存在任何违约行为，除按照前述约定承担违约责任外，还应赔偿甲方全部损失，甲方损失包括但不限于甲方为主张权利产生的诉讼费、保全费、保全保险费、律师费、差旅费等全部费用。</w:t>
      </w:r>
    </w:p>
    <w:p w14:paraId="1B32A7FC">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bCs/>
          <w:color w:val="000000"/>
          <w:sz w:val="24"/>
        </w:rPr>
        <w:t>八、不可抗力</w:t>
      </w:r>
    </w:p>
    <w:p w14:paraId="4C56F0F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不可抗力事故系指供货双方在缔结合同时所不能预见的，并且对其发生及后果无法避免和无法克服的事件。签约双方任一方由于受到诸如战争、严重火灾、洪水、台风、地震、严重传染性疾病等不可抗力事件的影响而不能执行合同时，履行合同的期限应予以延长，则延长的期限应相当于事件所影响的时间。</w:t>
      </w:r>
    </w:p>
    <w:p w14:paraId="0A0B9226">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 xml:space="preserve"> 2、受阻一方应在不可抗力事件发生后尽快用电报、传真或电传等书面形式通知对方，并于事故发生后14日内将有关当局出具的证明文件用特快专递或挂号信寄给对方审阅确认；同时，受阻方应尽可能继续履行合同义务，以及寻求采取合理的方案履行不受不可抗力影响的其他事项。一旦不可抗力事故的影响可能导致工期延误或持续</w:t>
      </w:r>
      <w:r>
        <w:rPr>
          <w:rFonts w:hint="eastAsia" w:ascii="仿宋" w:hAnsi="仿宋" w:eastAsia="仿宋" w:cs="仿宋"/>
          <w:bCs/>
          <w:color w:val="000000"/>
          <w:sz w:val="24"/>
          <w:u w:val="single"/>
        </w:rPr>
        <w:t xml:space="preserve"> 30 </w:t>
      </w:r>
      <w:r>
        <w:rPr>
          <w:rFonts w:hint="eastAsia" w:ascii="仿宋" w:hAnsi="仿宋" w:eastAsia="仿宋" w:cs="仿宋"/>
          <w:bCs/>
          <w:color w:val="000000"/>
          <w:sz w:val="24"/>
        </w:rPr>
        <w:t>日以上时，双方可通过友好协商在合理的时间内达成终止合同或进一步履行合同的协议。</w:t>
      </w:r>
    </w:p>
    <w:p w14:paraId="15D66BB2">
      <w:pPr>
        <w:tabs>
          <w:tab w:val="left" w:pos="567"/>
        </w:tabs>
        <w:adjustRightInd w:val="0"/>
        <w:snapToGrid w:val="0"/>
        <w:spacing w:line="360" w:lineRule="auto"/>
        <w:ind w:firstLine="482" w:firstLineChars="200"/>
        <w:rPr>
          <w:rFonts w:ascii="仿宋" w:hAnsi="仿宋" w:eastAsia="仿宋" w:cs="仿宋"/>
          <w:b/>
          <w:color w:val="000000"/>
          <w:sz w:val="24"/>
        </w:rPr>
      </w:pPr>
      <w:commentRangeStart w:id="4"/>
      <w:commentRangeStart w:id="5"/>
      <w:r>
        <w:rPr>
          <w:rFonts w:hint="eastAsia" w:ascii="仿宋" w:hAnsi="仿宋" w:eastAsia="仿宋" w:cs="仿宋"/>
          <w:b/>
          <w:color w:val="000000"/>
          <w:sz w:val="24"/>
        </w:rPr>
        <w:t>九、履约保证金</w:t>
      </w:r>
    </w:p>
    <w:p w14:paraId="388D1A2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1、履约保证金形式：现金、银行保函或保险合同形式。</w:t>
      </w:r>
    </w:p>
    <w:p w14:paraId="1961A7FD">
      <w:pPr>
        <w:tabs>
          <w:tab w:val="left" w:pos="567"/>
        </w:tabs>
        <w:adjustRightInd w:val="0"/>
        <w:snapToGrid w:val="0"/>
        <w:spacing w:line="360" w:lineRule="auto"/>
        <w:ind w:firstLine="480" w:firstLineChars="200"/>
        <w:rPr>
          <w:rFonts w:hint="eastAsia" w:ascii="仿宋" w:hAnsi="仿宋" w:eastAsia="仿宋" w:cs="仿宋"/>
          <w:bCs/>
          <w:color w:val="000000"/>
          <w:sz w:val="24"/>
          <w:lang w:eastAsia="zh-CN"/>
        </w:rPr>
      </w:pPr>
      <w:r>
        <w:rPr>
          <w:rFonts w:hint="eastAsia" w:ascii="仿宋" w:hAnsi="仿宋" w:eastAsia="仿宋" w:cs="仿宋"/>
          <w:bCs/>
          <w:color w:val="000000"/>
          <w:sz w:val="24"/>
        </w:rPr>
        <w:t>2、履约保证金金额：合同暂定总金额的10%</w:t>
      </w:r>
      <w:r>
        <w:rPr>
          <w:rFonts w:hint="eastAsia" w:ascii="仿宋" w:hAnsi="仿宋" w:eastAsia="仿宋" w:cs="仿宋"/>
          <w:bCs/>
          <w:color w:val="000000"/>
          <w:sz w:val="24"/>
          <w:lang w:eastAsia="zh-CN"/>
        </w:rPr>
        <w:t>。</w:t>
      </w:r>
    </w:p>
    <w:p w14:paraId="2CB42D42">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3、提交时间：自成交通知书发出之日起三十日内乙方提交至甲方指定账户或向甲方递交有效的银行保函或保险合同等。如果乙方未能按规定要求提交履约担保，则甲方有权取消其中标资格</w:t>
      </w:r>
      <w:commentRangeEnd w:id="4"/>
      <w:r>
        <w:commentReference w:id="4"/>
      </w:r>
      <w:commentRangeEnd w:id="5"/>
      <w:r>
        <w:commentReference w:id="5"/>
      </w:r>
      <w:r>
        <w:rPr>
          <w:rFonts w:hint="eastAsia" w:ascii="仿宋" w:hAnsi="仿宋" w:eastAsia="仿宋" w:cs="仿宋"/>
          <w:bCs/>
          <w:color w:val="000000"/>
          <w:sz w:val="24"/>
        </w:rPr>
        <w:t>。</w:t>
      </w:r>
    </w:p>
    <w:p w14:paraId="05FE7CCF">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4、退保约定：</w:t>
      </w:r>
    </w:p>
    <w:p w14:paraId="5C2771C6">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(1)现金或银行转账方式：竣工验收合格后30个日历天内无息退还。</w:t>
      </w:r>
    </w:p>
    <w:p w14:paraId="212440A1">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银行保函或保险合同方式：保函的担保有效期自保函开立之日起至竣工验收合格后30天止。注：若因乙方提交的保函的担保有效期内未通过竣工验收，则乙方应在已提交的保函的担保有效期到期日30日前，重新提交保函(担保金额仍为中标金额的10%)，否则视为违约，甲方有权暂停支付合同款且不视为甲方违约。</w:t>
      </w:r>
    </w:p>
    <w:p w14:paraId="56BDE1F5">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5、发生下列情况时甲方有权要求乙方退场并没收全部履约保证金：</w:t>
      </w:r>
    </w:p>
    <w:p w14:paraId="468B66A8">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(1)发生重大质量事故或施工过程质量无法保证且不采取整改措施；</w:t>
      </w:r>
    </w:p>
    <w:p w14:paraId="12BF2BD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(2)供货进度无法满足要求且无明显有效的赶工措施；</w:t>
      </w:r>
    </w:p>
    <w:p w14:paraId="68680199">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(3)在各工种、各单位交叉作业施工时，不顾全大局、不服从甲方协调指挥；</w:t>
      </w:r>
    </w:p>
    <w:p w14:paraId="40C5FE84">
      <w:pPr>
        <w:tabs>
          <w:tab w:val="left" w:pos="567"/>
        </w:tabs>
        <w:adjustRightInd w:val="0"/>
        <w:snapToGrid w:val="0"/>
        <w:spacing w:line="360" w:lineRule="auto"/>
        <w:ind w:firstLine="480" w:firstLineChars="200"/>
        <w:rPr>
          <w:rFonts w:ascii="仿宋" w:hAnsi="仿宋" w:eastAsia="仿宋" w:cs="仿宋"/>
          <w:b/>
          <w:color w:val="000000"/>
          <w:sz w:val="24"/>
        </w:rPr>
      </w:pPr>
      <w:r>
        <w:rPr>
          <w:rFonts w:hint="eastAsia" w:ascii="仿宋" w:hAnsi="仿宋" w:eastAsia="仿宋" w:cs="仿宋"/>
          <w:bCs/>
          <w:color w:val="000000"/>
          <w:sz w:val="24"/>
        </w:rPr>
        <w:t>(4)若因乙方的原因造成另外选择供货商时。</w:t>
      </w:r>
    </w:p>
    <w:p w14:paraId="3E6D1DA0">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color w:val="000000"/>
          <w:sz w:val="24"/>
        </w:rPr>
        <w:t>十、</w:t>
      </w:r>
      <w:r>
        <w:rPr>
          <w:rFonts w:hint="eastAsia" w:ascii="仿宋" w:hAnsi="仿宋" w:eastAsia="仿宋" w:cs="仿宋"/>
          <w:b/>
          <w:bCs/>
          <w:color w:val="000000"/>
          <w:sz w:val="24"/>
        </w:rPr>
        <w:t>争议解决</w:t>
      </w:r>
    </w:p>
    <w:p w14:paraId="5A12EDC6">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发生争议后，双方首先协商解决，协商不成时，提交甲方住所地有管辖权的人民法院解决。本合同关于争议的解决方式的约定具有最终效力，双方以后发生的补充合同、会议纪要、往来函件、发料单、结算单等涉及到争议解决方式的，均不得对抗此约定。</w:t>
      </w:r>
    </w:p>
    <w:p w14:paraId="2B2884F4">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color w:val="000000"/>
          <w:sz w:val="24"/>
        </w:rPr>
        <w:t>十一、</w:t>
      </w:r>
      <w:r>
        <w:rPr>
          <w:rFonts w:hint="eastAsia" w:ascii="仿宋" w:hAnsi="仿宋" w:eastAsia="仿宋" w:cs="仿宋"/>
          <w:b/>
          <w:bCs/>
          <w:color w:val="000000"/>
          <w:sz w:val="24"/>
        </w:rPr>
        <w:t>合同效力及份数</w:t>
      </w:r>
    </w:p>
    <w:p w14:paraId="2DAA6FBF">
      <w:pPr>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本合同自成立时生效。</w:t>
      </w:r>
    </w:p>
    <w:p w14:paraId="090DDD5B">
      <w:pPr>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本合同印刷字体内容若有修改变动（包括但不限于删除、增添、涂改等），必须经双方在修改处同时盖章确认方可生效，否则仍以原印刷字体内容为准。</w:t>
      </w:r>
    </w:p>
    <w:p w14:paraId="56213152">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2、本合同一式</w:t>
      </w:r>
      <w:r>
        <w:rPr>
          <w:rFonts w:hint="eastAsia" w:ascii="仿宋" w:hAnsi="仿宋" w:eastAsia="仿宋" w:cs="仿宋"/>
          <w:bCs/>
          <w:color w:val="000000"/>
          <w:sz w:val="24"/>
          <w:u w:val="single"/>
        </w:rPr>
        <w:t>拾</w:t>
      </w:r>
      <w:r>
        <w:rPr>
          <w:rFonts w:hint="eastAsia" w:ascii="仿宋" w:hAnsi="仿宋" w:eastAsia="仿宋" w:cs="仿宋"/>
          <w:bCs/>
          <w:color w:val="000000"/>
          <w:sz w:val="24"/>
        </w:rPr>
        <w:t>份，具有同等法律效力，甲方执</w:t>
      </w:r>
      <w:r>
        <w:rPr>
          <w:rFonts w:hint="eastAsia" w:ascii="仿宋" w:hAnsi="仿宋" w:eastAsia="仿宋" w:cs="仿宋"/>
          <w:bCs/>
          <w:color w:val="000000"/>
          <w:sz w:val="24"/>
          <w:u w:val="single"/>
        </w:rPr>
        <w:t>肆</w:t>
      </w:r>
      <w:r>
        <w:rPr>
          <w:rFonts w:hint="eastAsia" w:ascii="仿宋" w:hAnsi="仿宋" w:eastAsia="仿宋" w:cs="仿宋"/>
          <w:bCs/>
          <w:color w:val="000000"/>
          <w:sz w:val="24"/>
        </w:rPr>
        <w:t>份，乙方各执</w:t>
      </w:r>
      <w:r>
        <w:rPr>
          <w:rFonts w:hint="eastAsia" w:ascii="仿宋" w:hAnsi="仿宋" w:eastAsia="仿宋" w:cs="仿宋"/>
          <w:bCs/>
          <w:color w:val="000000"/>
          <w:sz w:val="24"/>
          <w:u w:val="single"/>
        </w:rPr>
        <w:t>贰</w:t>
      </w:r>
      <w:r>
        <w:rPr>
          <w:rFonts w:hint="eastAsia" w:ascii="仿宋" w:hAnsi="仿宋" w:eastAsia="仿宋" w:cs="仿宋"/>
          <w:bCs/>
          <w:color w:val="000000"/>
          <w:sz w:val="24"/>
        </w:rPr>
        <w:t>份。</w:t>
      </w:r>
    </w:p>
    <w:p w14:paraId="5EAADBDD">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3、本合同未尽事宜，由四方另行协商。</w:t>
      </w:r>
    </w:p>
    <w:p w14:paraId="3AB0693F">
      <w:pPr>
        <w:tabs>
          <w:tab w:val="left" w:pos="567"/>
        </w:tabs>
        <w:adjustRightInd w:val="0"/>
        <w:snapToGrid w:val="0"/>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十二、其他约定</w:t>
      </w:r>
    </w:p>
    <w:p w14:paraId="7AA4A793">
      <w:pPr>
        <w:widowControl/>
        <w:spacing w:line="540" w:lineRule="exact"/>
        <w:ind w:firstLine="480" w:firstLineChars="200"/>
        <w:jc w:val="left"/>
        <w:rPr>
          <w:rFonts w:ascii="宋体" w:hAnsi="宋体" w:cs="宋体"/>
          <w:kern w:val="0"/>
          <w:sz w:val="25"/>
          <w:szCs w:val="21"/>
        </w:rPr>
      </w:pPr>
      <w:r>
        <w:rPr>
          <w:rFonts w:hint="eastAsia" w:ascii="仿宋" w:hAnsi="仿宋" w:eastAsia="仿宋" w:cs="仿宋"/>
          <w:bCs/>
          <w:color w:val="000000"/>
          <w:sz w:val="24"/>
        </w:rPr>
        <w:t>合同权利或义务的转移需经相对方书面同意,否则该转让行为对相对方不发生法律效</w:t>
      </w:r>
      <w:r>
        <w:rPr>
          <w:rFonts w:hint="eastAsia" w:ascii="仿宋" w:hAnsi="仿宋" w:eastAsia="仿宋" w:cs="仿宋"/>
          <w:bCs/>
          <w:sz w:val="24"/>
        </w:rPr>
        <w:t>力。</w:t>
      </w:r>
    </w:p>
    <w:p w14:paraId="1A96F571">
      <w:pPr>
        <w:widowControl/>
        <w:jc w:val="left"/>
      </w:pPr>
    </w:p>
    <w:p w14:paraId="08C83431">
      <w:pPr>
        <w:widowControl/>
        <w:jc w:val="left"/>
      </w:pPr>
    </w:p>
    <w:p w14:paraId="1DB1C8A7">
      <w:pPr>
        <w:jc w:val="left"/>
      </w:pPr>
      <w:r>
        <w:rPr>
          <w:rFonts w:hint="eastAsia"/>
        </w:rPr>
        <w:t>(以下无正文)</w:t>
      </w:r>
    </w:p>
    <w:p w14:paraId="2E0FD4A7">
      <w:pPr>
        <w:jc w:val="left"/>
      </w:pPr>
    </w:p>
    <w:p w14:paraId="0977CD14">
      <w:pPr>
        <w:jc w:val="left"/>
      </w:pPr>
    </w:p>
    <w:p w14:paraId="77E9A8ED">
      <w:pPr>
        <w:jc w:val="left"/>
      </w:pPr>
      <w:r>
        <w:t>甲方：(盖章)</w:t>
      </w:r>
      <w:r>
        <w:rPr>
          <w:rFonts w:hint="eastAsia"/>
        </w:rPr>
        <w:t xml:space="preserve">                            </w:t>
      </w:r>
      <w:r>
        <w:t>乙  方：(盖章)</w:t>
      </w:r>
    </w:p>
    <w:p w14:paraId="2817D552"/>
    <w:p w14:paraId="766B9C31">
      <w:pPr>
        <w:pStyle w:val="2"/>
      </w:pPr>
    </w:p>
    <w:p w14:paraId="795876C2">
      <w:pPr>
        <w:jc w:val="left"/>
      </w:pPr>
      <w:r>
        <w:t>法定代表人：</w:t>
      </w:r>
      <w:r>
        <w:rPr>
          <w:rFonts w:hint="eastAsia"/>
        </w:rPr>
        <w:t xml:space="preserve">                            </w:t>
      </w:r>
      <w:r>
        <w:t>法定代表人：</w:t>
      </w:r>
      <w:r>
        <w:rPr>
          <w:rFonts w:hint="eastAsia"/>
        </w:rPr>
        <w:t xml:space="preserve">                            </w:t>
      </w:r>
    </w:p>
    <w:p w14:paraId="268C1C14">
      <w:pPr>
        <w:jc w:val="left"/>
      </w:pPr>
      <w:r>
        <w:t>或授权委托人：</w:t>
      </w:r>
      <w:r>
        <w:rPr>
          <w:rFonts w:hint="eastAsia"/>
        </w:rPr>
        <w:t xml:space="preserve">                          </w:t>
      </w:r>
      <w:r>
        <w:t>或授权委托人：</w:t>
      </w:r>
    </w:p>
    <w:p w14:paraId="479EFD84">
      <w:pPr>
        <w:jc w:val="left"/>
      </w:pPr>
    </w:p>
    <w:p w14:paraId="00A38122">
      <w:pPr>
        <w:jc w:val="left"/>
      </w:pPr>
      <w:r>
        <w:t>时间 ：   年    月   日</w:t>
      </w:r>
      <w:r>
        <w:rPr>
          <w:rFonts w:hint="eastAsia"/>
        </w:rPr>
        <w:t xml:space="preserve">                 </w:t>
      </w:r>
      <w:r>
        <w:t>时间 ：   年    月   日</w:t>
      </w:r>
    </w:p>
    <w:p w14:paraId="3FEC85DD">
      <w:pPr>
        <w:jc w:val="left"/>
      </w:pPr>
    </w:p>
    <w:p w14:paraId="284C415C"/>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eng-HCLS" w:date="2026-07-17T16:00:51Z" w:initials="">
    <w:p w14:paraId="1735B918">
      <w:pPr>
        <w:pStyle w:val="3"/>
      </w:pPr>
      <w:r>
        <w:rPr>
          <w:rFonts w:hint="eastAsia"/>
          <w:lang w:val="en-US" w:eastAsia="zh-CN"/>
        </w:rPr>
        <w:t>不含税金么？</w:t>
      </w:r>
    </w:p>
  </w:comment>
  <w:comment w:id="1" w:author="云慕长风" w:date="2026-07-17T16:41:03Z" w:initials="">
    <w:p w14:paraId="62362680">
      <w:pPr>
        <w:pStyle w:val="3"/>
        <w:rPr>
          <w:rFonts w:hint="eastAsia" w:eastAsia="宋体"/>
          <w:lang w:val="en-US" w:eastAsia="zh-CN"/>
        </w:rPr>
      </w:pPr>
      <w:r>
        <w:rPr>
          <w:rFonts w:hint="eastAsia"/>
          <w:lang w:val="en-US" w:eastAsia="zh-CN"/>
        </w:rPr>
        <w:t>已修改</w:t>
      </w:r>
    </w:p>
  </w:comment>
  <w:comment w:id="2" w:author="Zeng-HCLS" w:date="2026-07-17T16:01:06Z" w:initials="">
    <w:p w14:paraId="0153DAE1">
      <w:pPr>
        <w:pStyle w:val="3"/>
      </w:pPr>
      <w:r>
        <w:rPr>
          <w:rFonts w:hint="eastAsia"/>
          <w:lang w:val="en-US" w:eastAsia="zh-CN"/>
        </w:rPr>
        <w:t>采购清单中没有这一项。</w:t>
      </w:r>
    </w:p>
  </w:comment>
  <w:comment w:id="3" w:author="云慕长风" w:date="2026-07-17T16:41:17Z" w:initials="">
    <w:p w14:paraId="20A1A970">
      <w:pPr>
        <w:pStyle w:val="3"/>
        <w:rPr>
          <w:rFonts w:hint="default" w:eastAsia="宋体"/>
          <w:lang w:val="en-US" w:eastAsia="zh-CN"/>
        </w:rPr>
      </w:pPr>
      <w:r>
        <w:rPr>
          <w:rFonts w:hint="eastAsia"/>
          <w:lang w:val="en-US" w:eastAsia="zh-CN"/>
        </w:rPr>
        <w:t>盘圆是钢筋运到施工现场的一种形式，对应表格里的圆钢</w:t>
      </w:r>
    </w:p>
    <w:p w14:paraId="6221E5DE">
      <w:pPr>
        <w:pStyle w:val="3"/>
      </w:pPr>
    </w:p>
  </w:comment>
  <w:comment w:id="4" w:author="Zeng-HCLS" w:date="2026-07-17T16:01:42Z" w:initials="">
    <w:p w14:paraId="6C2A45B5">
      <w:pPr>
        <w:pStyle w:val="3"/>
      </w:pPr>
      <w:r>
        <w:rPr>
          <w:rFonts w:hint="eastAsia"/>
          <w:lang w:val="en-US" w:eastAsia="zh-CN"/>
        </w:rPr>
        <w:t>需提供履约保证金的要求，建议在询价公告中也载明。</w:t>
      </w:r>
    </w:p>
  </w:comment>
  <w:comment w:id="5" w:author="云慕长风" w:date="2026-07-17T16:41:32Z" w:initials="">
    <w:p w14:paraId="77B2879E">
      <w:pPr>
        <w:pStyle w:val="3"/>
        <w:rPr>
          <w:rFonts w:hint="eastAsia" w:eastAsia="宋体"/>
          <w:lang w:val="en-US" w:eastAsia="zh-CN"/>
        </w:rPr>
      </w:pPr>
      <w:r>
        <w:rPr>
          <w:rFonts w:hint="eastAsia"/>
          <w:lang w:val="en-US" w:eastAsia="zh-CN"/>
        </w:rPr>
        <w:t>已添加</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735B918" w15:done="0"/>
  <w15:commentEx w15:paraId="62362680" w15:done="0" w15:paraIdParent="1735B918"/>
  <w15:commentEx w15:paraId="0153DAE1" w15:done="0"/>
  <w15:commentEx w15:paraId="6221E5DE" w15:done="0" w15:paraIdParent="0153DAE1"/>
  <w15:commentEx w15:paraId="6C2A45B5" w15:done="0"/>
  <w15:commentEx w15:paraId="77B2879E" w15:done="0" w15:paraIdParent="6C2A45B5"/>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ED322C"/>
    <w:multiLevelType w:val="singleLevel"/>
    <w:tmpl w:val="D7ED322C"/>
    <w:lvl w:ilvl="0" w:tentative="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eng-HCLS">
    <w15:presenceInfo w15:providerId="WPS Office" w15:userId="3097374974"/>
  </w15:person>
  <w15:person w15:author="云慕长风">
    <w15:presenceInfo w15:providerId="WPS Office" w15:userId="139117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wMzQ4YWM1ZTNkYWRhNjRmODczOTEzYjhlYzFlMjkifQ=="/>
  </w:docVars>
  <w:rsids>
    <w:rsidRoot w:val="4BE62A67"/>
    <w:rsid w:val="00065514"/>
    <w:rsid w:val="002169F7"/>
    <w:rsid w:val="002E413F"/>
    <w:rsid w:val="00395929"/>
    <w:rsid w:val="00467E63"/>
    <w:rsid w:val="004D2893"/>
    <w:rsid w:val="005E0B19"/>
    <w:rsid w:val="007352BD"/>
    <w:rsid w:val="00795F35"/>
    <w:rsid w:val="007C13C0"/>
    <w:rsid w:val="007F6DC4"/>
    <w:rsid w:val="008532FF"/>
    <w:rsid w:val="00B2521D"/>
    <w:rsid w:val="00BD1D62"/>
    <w:rsid w:val="00C1362F"/>
    <w:rsid w:val="00DD147C"/>
    <w:rsid w:val="00DF7998"/>
    <w:rsid w:val="00FD7DBD"/>
    <w:rsid w:val="06475B39"/>
    <w:rsid w:val="07723C5F"/>
    <w:rsid w:val="0A20501F"/>
    <w:rsid w:val="0DDC125D"/>
    <w:rsid w:val="0F977B31"/>
    <w:rsid w:val="0FB73D2F"/>
    <w:rsid w:val="10596B94"/>
    <w:rsid w:val="12706417"/>
    <w:rsid w:val="143C2A55"/>
    <w:rsid w:val="149C7AA8"/>
    <w:rsid w:val="164200CB"/>
    <w:rsid w:val="17E07B9B"/>
    <w:rsid w:val="18504D21"/>
    <w:rsid w:val="1A754038"/>
    <w:rsid w:val="1A7D3DC7"/>
    <w:rsid w:val="1B553271"/>
    <w:rsid w:val="1EDF6DB6"/>
    <w:rsid w:val="21E723C5"/>
    <w:rsid w:val="2CD0422B"/>
    <w:rsid w:val="2DF02CA4"/>
    <w:rsid w:val="2E3E778E"/>
    <w:rsid w:val="30143F92"/>
    <w:rsid w:val="32B4708B"/>
    <w:rsid w:val="34B955A4"/>
    <w:rsid w:val="354A3431"/>
    <w:rsid w:val="3682021B"/>
    <w:rsid w:val="37AD13F0"/>
    <w:rsid w:val="38F372D7"/>
    <w:rsid w:val="3B2C4D22"/>
    <w:rsid w:val="3C7B64D6"/>
    <w:rsid w:val="3E1201FF"/>
    <w:rsid w:val="3EEB27FE"/>
    <w:rsid w:val="3FBD063E"/>
    <w:rsid w:val="41EA0F9B"/>
    <w:rsid w:val="41FD7F7B"/>
    <w:rsid w:val="45727E6F"/>
    <w:rsid w:val="462E4A8C"/>
    <w:rsid w:val="475A49C5"/>
    <w:rsid w:val="481E790B"/>
    <w:rsid w:val="48A028AB"/>
    <w:rsid w:val="48EC47B9"/>
    <w:rsid w:val="4BE62A67"/>
    <w:rsid w:val="4BEB2AC0"/>
    <w:rsid w:val="4CB30401"/>
    <w:rsid w:val="4CCF19B1"/>
    <w:rsid w:val="4F1A5F31"/>
    <w:rsid w:val="4FF44F30"/>
    <w:rsid w:val="50306C0B"/>
    <w:rsid w:val="54DA219E"/>
    <w:rsid w:val="556F3D31"/>
    <w:rsid w:val="55BD1D91"/>
    <w:rsid w:val="56AF6ADB"/>
    <w:rsid w:val="598B6C60"/>
    <w:rsid w:val="5A8042EB"/>
    <w:rsid w:val="5AD92379"/>
    <w:rsid w:val="5C001F99"/>
    <w:rsid w:val="5EF332F6"/>
    <w:rsid w:val="60480F60"/>
    <w:rsid w:val="60C2740B"/>
    <w:rsid w:val="63993A9D"/>
    <w:rsid w:val="63F55D49"/>
    <w:rsid w:val="6422151D"/>
    <w:rsid w:val="648C59FB"/>
    <w:rsid w:val="64E262CE"/>
    <w:rsid w:val="67260467"/>
    <w:rsid w:val="6A86594D"/>
    <w:rsid w:val="6ABA6F35"/>
    <w:rsid w:val="6B3709F5"/>
    <w:rsid w:val="6E001573"/>
    <w:rsid w:val="74FD4A5E"/>
    <w:rsid w:val="77495D38"/>
    <w:rsid w:val="79780B57"/>
    <w:rsid w:val="7AB173DD"/>
    <w:rsid w:val="7C233DD5"/>
    <w:rsid w:val="7D376633"/>
    <w:rsid w:val="7DB2249A"/>
    <w:rsid w:val="7F381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ascii="Wingdings" w:hAnsi="Wingdings"/>
      <w:sz w:val="28"/>
    </w:rPr>
  </w:style>
  <w:style w:type="paragraph" w:styleId="3">
    <w:name w:val="annotation text"/>
    <w:basedOn w:val="1"/>
    <w:qFormat/>
    <w:uiPriority w:val="0"/>
    <w:pPr>
      <w:jc w:val="left"/>
    </w:pPr>
  </w:style>
  <w:style w:type="paragraph" w:styleId="4">
    <w:name w:val="Balloon Text"/>
    <w:basedOn w:val="1"/>
    <w:link w:val="12"/>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Message Header"/>
    <w:basedOn w:val="1"/>
    <w:next w:val="1"/>
    <w:qFormat/>
    <w:uiPriority w:val="99"/>
    <w:pPr>
      <w:pBdr>
        <w:top w:val="single" w:color="auto" w:sz="6" w:space="1"/>
        <w:left w:val="single" w:color="auto" w:sz="6" w:space="1"/>
        <w:bottom w:val="single" w:color="auto" w:sz="6" w:space="1"/>
        <w:right w:val="single" w:color="auto" w:sz="6" w:space="1"/>
      </w:pBdr>
      <w:shd w:val="clear" w:color="auto" w:fill="7F7F7F"/>
      <w:spacing w:before="100" w:beforeAutospacing="1" w:after="100" w:afterAutospacing="1"/>
      <w:ind w:left="1080" w:leftChars="500" w:hanging="1080" w:hangingChars="500"/>
    </w:pPr>
    <w:rPr>
      <w:rFonts w:ascii="等线" w:hAnsi="等线" w:cs="等线"/>
      <w:sz w:val="24"/>
    </w:rPr>
  </w:style>
  <w:style w:type="paragraph" w:styleId="8">
    <w:name w:val="Body Text First Indent"/>
    <w:basedOn w:val="2"/>
    <w:next w:val="9"/>
    <w:qFormat/>
    <w:uiPriority w:val="0"/>
    <w:pPr>
      <w:spacing w:after="120"/>
      <w:ind w:firstLine="420" w:firstLineChars="100"/>
    </w:pPr>
    <w:rPr>
      <w:rFonts w:ascii="Times New Roman" w:hAnsi="Times New Roman"/>
      <w:sz w:val="24"/>
      <w:szCs w:val="20"/>
    </w:rPr>
  </w:style>
  <w:style w:type="paragraph" w:customStyle="1" w:styleId="9">
    <w:name w:val="段落正文"/>
    <w:basedOn w:val="1"/>
    <w:qFormat/>
    <w:uiPriority w:val="0"/>
    <w:pPr>
      <w:spacing w:before="50" w:beforeLines="50" w:line="360" w:lineRule="auto"/>
      <w:ind w:firstLine="200" w:firstLineChars="200"/>
    </w:pPr>
    <w:rPr>
      <w:spacing w:val="2"/>
      <w:sz w:val="24"/>
      <w:szCs w:val="20"/>
    </w:rPr>
  </w:style>
  <w:style w:type="character" w:customStyle="1" w:styleId="12">
    <w:name w:val="批注框文本 Char"/>
    <w:basedOn w:val="11"/>
    <w:link w:val="4"/>
    <w:qFormat/>
    <w:uiPriority w:val="0"/>
    <w:rPr>
      <w:rFonts w:ascii="Times New Roman" w:hAnsi="Times New Roman" w:eastAsia="宋体" w:cs="Times New Roman"/>
      <w:kern w:val="2"/>
      <w:sz w:val="18"/>
      <w:szCs w:val="18"/>
    </w:rPr>
  </w:style>
  <w:style w:type="character" w:customStyle="1" w:styleId="13">
    <w:name w:val="页眉 Char"/>
    <w:basedOn w:val="11"/>
    <w:link w:val="6"/>
    <w:qFormat/>
    <w:uiPriority w:val="0"/>
    <w:rPr>
      <w:rFonts w:ascii="Times New Roman" w:hAnsi="Times New Roman" w:eastAsia="宋体" w:cs="Times New Roman"/>
      <w:kern w:val="2"/>
      <w:sz w:val="18"/>
      <w:szCs w:val="18"/>
    </w:rPr>
  </w:style>
  <w:style w:type="character" w:customStyle="1" w:styleId="14">
    <w:name w:val="页脚 Char"/>
    <w:basedOn w:val="11"/>
    <w:link w:val="5"/>
    <w:qFormat/>
    <w:uiPriority w:val="0"/>
    <w:rPr>
      <w:rFonts w:ascii="Times New Roman" w:hAnsi="Times New Roman" w:eastAsia="宋体" w:cs="Times New Roman"/>
      <w:kern w:val="2"/>
      <w:sz w:val="18"/>
      <w:szCs w:val="18"/>
    </w:rPr>
  </w:style>
  <w:style w:type="character" w:customStyle="1" w:styleId="15">
    <w:name w:val="font11"/>
    <w:basedOn w:val="11"/>
    <w:qFormat/>
    <w:uiPriority w:val="0"/>
    <w:rPr>
      <w:rFonts w:hint="eastAsia" w:ascii="宋体" w:hAnsi="宋体" w:eastAsia="宋体" w:cs="宋体"/>
      <w:color w:val="000000"/>
      <w:sz w:val="20"/>
      <w:szCs w:val="20"/>
      <w:u w:val="none"/>
    </w:rPr>
  </w:style>
  <w:style w:type="character" w:customStyle="1" w:styleId="16">
    <w:name w:val="font2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7078</Words>
  <Characters>7522</Characters>
  <Lines>54</Lines>
  <Paragraphs>15</Paragraphs>
  <TotalTime>0</TotalTime>
  <ScaleCrop>false</ScaleCrop>
  <LinksUpToDate>false</LinksUpToDate>
  <CharactersWithSpaces>7793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2024-10-09T03:14:00Z</dcterms:created>
  <dc:creator>三岁羡</dc:creator>
  <cp:lastModifiedBy>云慕长风</cp:lastModifiedBy>
  <cp:lastPrinted>2026-07-17T12:46:45Z</cp:lastPrinted>
  <dcterms:modified xsi:type="dcterms:W3CDTF">2026-07-17T12:46:49Z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65BEDA98A2FB487AB35992E59A8245F5_13</vt:lpwstr>
  </property>
  <property fmtid="{D5CDD505-2E9C-101B-9397-08002B2CF9AE}" pid="4" name="KSOTemplateDocerSaveRecord">
    <vt:lpwstr>eyJoZGlkIjoiMmRkYTJjZWU3YWMxYzU5MjdkY2FmMjY5NjhhMWY0NDUiLCJ1c2VySWQiOiIyOTM0ODczMTMifQ==</vt:lpwstr>
  </property>
</Properties>
</file>