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1BC5E">
      <w:pPr>
        <w:jc w:val="center"/>
        <w:rPr>
          <w:rFonts w:ascii="仿宋" w:hAnsi="仿宋" w:eastAsia="仿宋" w:cs="仿宋"/>
          <w:sz w:val="32"/>
          <w:szCs w:val="32"/>
        </w:rPr>
      </w:pPr>
      <w:r>
        <w:rPr>
          <w:rFonts w:hint="eastAsia" w:ascii="仿宋" w:hAnsi="仿宋" w:eastAsia="仿宋" w:cs="仿宋"/>
          <w:sz w:val="32"/>
          <w:szCs w:val="32"/>
        </w:rPr>
        <w:t xml:space="preserve">          </w:t>
      </w:r>
      <w:r>
        <w:rPr>
          <w:rFonts w:hint="eastAsia" w:ascii="方正小标宋简体" w:hAnsi="方正小标宋简体" w:eastAsia="方正小标宋简体" w:cs="方正小标宋简体"/>
          <w:sz w:val="32"/>
          <w:szCs w:val="32"/>
        </w:rPr>
        <w:t>合同编号：</w:t>
      </w:r>
    </w:p>
    <w:p w14:paraId="798E6ECC">
      <w:pPr>
        <w:pStyle w:val="2"/>
        <w:rPr>
          <w:rFonts w:ascii="仿宋" w:hAnsi="仿宋" w:eastAsia="仿宋" w:cs="仿宋"/>
          <w:sz w:val="32"/>
          <w:szCs w:val="32"/>
        </w:rPr>
      </w:pPr>
    </w:p>
    <w:p w14:paraId="429E3547">
      <w:pPr>
        <w:jc w:val="center"/>
        <w:rPr>
          <w:rFonts w:ascii="宋体" w:hAnsi="宋体" w:cs="宋体"/>
          <w:sz w:val="44"/>
          <w:szCs w:val="44"/>
          <w:u w:val="single"/>
        </w:rPr>
      </w:pPr>
    </w:p>
    <w:p w14:paraId="50FBF168">
      <w:pPr>
        <w:jc w:val="center"/>
        <w:rPr>
          <w:rFonts w:ascii="宋体" w:hAnsi="宋体" w:cs="宋体"/>
          <w:sz w:val="44"/>
          <w:szCs w:val="44"/>
          <w:u w:val="single"/>
        </w:rPr>
      </w:pPr>
    </w:p>
    <w:p w14:paraId="0D9DA7B7">
      <w:pPr>
        <w:jc w:val="center"/>
        <w:rPr>
          <w:rFonts w:ascii="仿宋" w:hAnsi="仿宋" w:eastAsia="仿宋" w:cs="仿宋"/>
          <w:sz w:val="32"/>
          <w:szCs w:val="32"/>
        </w:rPr>
      </w:pPr>
      <w:r>
        <w:rPr>
          <w:rFonts w:hint="eastAsia" w:ascii="宋体" w:hAnsi="宋体" w:cs="宋体"/>
          <w:sz w:val="44"/>
          <w:szCs w:val="44"/>
          <w:u w:val="single"/>
        </w:rPr>
        <w:t>建筑砖砌体采购合同</w:t>
      </w:r>
    </w:p>
    <w:p w14:paraId="61B1BD61">
      <w:pPr>
        <w:pStyle w:val="2"/>
        <w:rPr>
          <w:rFonts w:ascii="仿宋" w:hAnsi="仿宋" w:eastAsia="仿宋" w:cs="仿宋"/>
          <w:sz w:val="32"/>
          <w:szCs w:val="32"/>
        </w:rPr>
      </w:pPr>
    </w:p>
    <w:p w14:paraId="4F459CE0">
      <w:pPr>
        <w:rPr>
          <w:rFonts w:ascii="仿宋" w:hAnsi="仿宋" w:eastAsia="仿宋" w:cs="仿宋"/>
          <w:sz w:val="32"/>
          <w:szCs w:val="32"/>
        </w:rPr>
      </w:pPr>
    </w:p>
    <w:p w14:paraId="47F6B20B">
      <w:pPr>
        <w:pStyle w:val="2"/>
        <w:rPr>
          <w:rFonts w:ascii="仿宋" w:hAnsi="仿宋" w:eastAsia="仿宋" w:cs="仿宋"/>
          <w:sz w:val="32"/>
          <w:szCs w:val="32"/>
        </w:rPr>
      </w:pPr>
    </w:p>
    <w:p w14:paraId="1044A24A"/>
    <w:p w14:paraId="3FF6AE0A">
      <w:pPr>
        <w:pStyle w:val="2"/>
      </w:pPr>
    </w:p>
    <w:p w14:paraId="52C55730"/>
    <w:p w14:paraId="355EC678">
      <w:pPr>
        <w:pStyle w:val="2"/>
      </w:pPr>
    </w:p>
    <w:p w14:paraId="1147758E">
      <w:pPr>
        <w:pStyle w:val="3"/>
        <w:ind w:firstLine="240"/>
      </w:pPr>
    </w:p>
    <w:p w14:paraId="66D30313"/>
    <w:p w14:paraId="060226C9">
      <w:pPr>
        <w:pStyle w:val="2"/>
      </w:pPr>
    </w:p>
    <w:p w14:paraId="17B416D3">
      <w:pPr>
        <w:jc w:val="center"/>
        <w:rPr>
          <w:rFonts w:ascii="方正小标宋简体" w:hAnsi="方正小标宋简体" w:eastAsia="方正小标宋简体" w:cs="方正小标宋简体"/>
          <w:sz w:val="32"/>
          <w:szCs w:val="32"/>
        </w:rPr>
      </w:pPr>
      <w:r>
        <w:rPr>
          <w:rFonts w:hint="eastAsia" w:ascii="宋体" w:hAnsi="宋体" w:cs="宋体"/>
          <w:sz w:val="28"/>
          <w:szCs w:val="28"/>
        </w:rPr>
        <w:t>签订日期：    年    月    日</w:t>
      </w:r>
    </w:p>
    <w:p w14:paraId="5F4C441C">
      <w:pPr>
        <w:rPr>
          <w:rFonts w:ascii="宋体" w:hAnsi="宋体" w:cs="宋体"/>
          <w:sz w:val="28"/>
          <w:szCs w:val="28"/>
        </w:rPr>
        <w:sectPr>
          <w:pgSz w:w="11910" w:h="16840"/>
          <w:pgMar w:top="1417" w:right="1735" w:bottom="1134" w:left="1786" w:header="0" w:footer="0" w:gutter="0"/>
          <w:cols w:space="720" w:num="1"/>
        </w:sectPr>
      </w:pPr>
    </w:p>
    <w:p w14:paraId="76780A0A">
      <w:pPr>
        <w:kinsoku w:val="0"/>
        <w:autoSpaceDE w:val="0"/>
        <w:autoSpaceDN w:val="0"/>
        <w:adjustRightInd w:val="0"/>
        <w:snapToGrid w:val="0"/>
        <w:jc w:val="center"/>
        <w:textAlignment w:val="baseline"/>
        <w:rPr>
          <w:rFonts w:asciiTheme="minorEastAsia" w:hAnsiTheme="minorEastAsia" w:eastAsiaTheme="minorEastAsia" w:cstheme="minorEastAsia"/>
          <w:snapToGrid w:val="0"/>
          <w:color w:val="000000"/>
          <w:w w:val="95"/>
          <w:kern w:val="0"/>
          <w:sz w:val="28"/>
          <w:szCs w:val="28"/>
        </w:rPr>
      </w:pPr>
      <w:r>
        <w:rPr>
          <w:rFonts w:hint="eastAsia" w:asciiTheme="minorEastAsia" w:hAnsiTheme="minorEastAsia" w:eastAsiaTheme="minorEastAsia" w:cstheme="minorEastAsia"/>
          <w:b/>
          <w:bCs/>
          <w:snapToGrid w:val="0"/>
          <w:color w:val="000000"/>
          <w:spacing w:val="2"/>
          <w:w w:val="90"/>
          <w:kern w:val="0"/>
          <w:sz w:val="28"/>
          <w:szCs w:val="28"/>
        </w:rPr>
        <w:t>建筑砖砌体采购合同</w:t>
      </w:r>
    </w:p>
    <w:p w14:paraId="3515F405">
      <w:pPr>
        <w:widowControl/>
        <w:kinsoku w:val="0"/>
        <w:autoSpaceDE w:val="0"/>
        <w:autoSpaceDN w:val="0"/>
        <w:adjustRightInd w:val="0"/>
        <w:snapToGrid w:val="0"/>
        <w:spacing w:line="360" w:lineRule="auto"/>
        <w:jc w:val="left"/>
        <w:textAlignment w:val="baseline"/>
        <w:rPr>
          <w:rFonts w:ascii="Arial" w:hAnsi="Arial" w:eastAsia="Arial" w:cs="Arial"/>
          <w:snapToGrid w:val="0"/>
          <w:color w:val="000000"/>
          <w:kern w:val="0"/>
          <w:szCs w:val="21"/>
        </w:rPr>
      </w:pPr>
    </w:p>
    <w:p w14:paraId="6F372985">
      <w:pPr>
        <w:spacing w:line="500" w:lineRule="exact"/>
        <w:ind w:firstLine="420" w:firstLineChars="200"/>
        <w:jc w:val="left"/>
        <w:rPr>
          <w:rFonts w:ascii="宋体" w:hAnsi="宋体" w:cs="宋体"/>
          <w:kern w:val="0"/>
          <w:szCs w:val="21"/>
        </w:rPr>
      </w:pPr>
      <w:r>
        <w:rPr>
          <w:rFonts w:hint="eastAsia" w:ascii="宋体" w:hAnsi="宋体" w:cs="宋体"/>
          <w:kern w:val="0"/>
          <w:szCs w:val="21"/>
        </w:rPr>
        <w:t xml:space="preserve">甲方 </w:t>
      </w:r>
      <w:r>
        <w:rPr>
          <w:rFonts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ascii="宋体" w:hAnsi="宋体" w:cs="宋体"/>
          <w:kern w:val="0"/>
          <w:szCs w:val="21"/>
        </w:rPr>
        <w:t xml:space="preserve">  </w:t>
      </w:r>
    </w:p>
    <w:p w14:paraId="2CB68E88">
      <w:pPr>
        <w:spacing w:line="500" w:lineRule="exact"/>
        <w:ind w:firstLine="420" w:firstLineChars="200"/>
        <w:jc w:val="left"/>
        <w:rPr>
          <w:rFonts w:ascii="宋体" w:hAnsi="宋体" w:cs="宋体"/>
          <w:color w:val="000000"/>
          <w:kern w:val="0"/>
          <w:szCs w:val="21"/>
        </w:rPr>
      </w:pPr>
      <w:r>
        <w:rPr>
          <w:rFonts w:hint="eastAsia" w:ascii="宋体" w:hAnsi="宋体" w:cs="宋体"/>
          <w:kern w:val="0"/>
          <w:szCs w:val="21"/>
        </w:rPr>
        <w:t>乙方</w:t>
      </w:r>
      <w:r>
        <w:rPr>
          <w:rFonts w:ascii="宋体" w:hAnsi="宋体" w:cs="宋体"/>
          <w:kern w:val="0"/>
          <w:szCs w:val="21"/>
        </w:rPr>
        <w:t xml:space="preserve"> ：</w:t>
      </w:r>
      <w:r>
        <w:rPr>
          <w:rFonts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p>
    <w:p w14:paraId="05AE1B10">
      <w:pPr>
        <w:spacing w:line="500" w:lineRule="exact"/>
        <w:ind w:firstLine="420" w:firstLineChars="200"/>
        <w:jc w:val="left"/>
        <w:rPr>
          <w:rFonts w:ascii="宋体" w:hAnsi="宋体" w:cs="宋体"/>
          <w:color w:val="000000"/>
          <w:kern w:val="0"/>
          <w:szCs w:val="21"/>
        </w:rPr>
      </w:pPr>
      <w:r>
        <w:rPr>
          <w:rFonts w:hint="eastAsia" w:ascii="宋体" w:hAnsi="宋体" w:cs="宋体"/>
          <w:kern w:val="0"/>
          <w:szCs w:val="21"/>
        </w:rPr>
        <w:t>依照《中华人民共和国民法典》及其它有关法律、行政法规，甲、乙双方遵循平等、自愿、公平、诚信和互利的原则，经充分协商，就甲方所需</w:t>
      </w:r>
      <w:r>
        <w:rPr>
          <w:rFonts w:hint="eastAsia" w:ascii="宋体" w:hAnsi="宋体" w:cs="宋体"/>
          <w:kern w:val="0"/>
          <w:szCs w:val="21"/>
          <w:u w:val="single"/>
        </w:rPr>
        <w:t xml:space="preserve"> 砖砌体 </w:t>
      </w:r>
      <w:r>
        <w:rPr>
          <w:rFonts w:hint="eastAsia" w:ascii="宋体" w:hAnsi="宋体" w:cs="宋体"/>
          <w:kern w:val="0"/>
          <w:szCs w:val="21"/>
        </w:rPr>
        <w:t>采购事宜，签订本合同，以资共同信守执行</w:t>
      </w:r>
      <w:r>
        <w:rPr>
          <w:rFonts w:ascii="宋体" w:hAnsi="宋体" w:cs="宋体"/>
          <w:color w:val="000000"/>
          <w:kern w:val="0"/>
          <w:szCs w:val="21"/>
        </w:rPr>
        <w:t>。</w:t>
      </w:r>
    </w:p>
    <w:p w14:paraId="585C7F86">
      <w:pPr>
        <w:kinsoku w:val="0"/>
        <w:adjustRightInd w:val="0"/>
        <w:snapToGrid w:val="0"/>
        <w:spacing w:before="48" w:line="500" w:lineRule="exact"/>
        <w:ind w:left="578"/>
        <w:jc w:val="left"/>
        <w:textAlignment w:val="baseline"/>
        <w:outlineLvl w:val="0"/>
        <w:rPr>
          <w:rFonts w:ascii="仿宋" w:hAnsi="仿宋" w:eastAsia="仿宋" w:cs="仿宋"/>
          <w:snapToGrid w:val="0"/>
          <w:color w:val="000000"/>
          <w:kern w:val="0"/>
          <w:sz w:val="25"/>
          <w:szCs w:val="25"/>
          <w:lang w:eastAsia="en-US"/>
        </w:rPr>
      </w:pPr>
      <w:r>
        <w:rPr>
          <w:rFonts w:ascii="仿宋" w:hAnsi="仿宋" w:eastAsia="仿宋" w:cs="仿宋"/>
          <w:b/>
          <w:bCs/>
          <w:snapToGrid w:val="0"/>
          <w:color w:val="000000"/>
          <w:spacing w:val="-26"/>
          <w:kern w:val="0"/>
          <w:sz w:val="25"/>
          <w:szCs w:val="25"/>
          <w:lang w:eastAsia="en-US"/>
        </w:rPr>
        <w:t>一</w:t>
      </w:r>
      <w:r>
        <w:rPr>
          <w:rFonts w:ascii="仿宋" w:hAnsi="仿宋" w:eastAsia="仿宋" w:cs="仿宋"/>
          <w:snapToGrid w:val="0"/>
          <w:color w:val="000000"/>
          <w:spacing w:val="-37"/>
          <w:kern w:val="0"/>
          <w:sz w:val="25"/>
          <w:szCs w:val="25"/>
          <w:lang w:eastAsia="en-US"/>
        </w:rPr>
        <w:t xml:space="preserve"> </w:t>
      </w:r>
      <w:r>
        <w:rPr>
          <w:rFonts w:ascii="仿宋" w:hAnsi="仿宋" w:eastAsia="仿宋" w:cs="仿宋"/>
          <w:b/>
          <w:bCs/>
          <w:snapToGrid w:val="0"/>
          <w:color w:val="000000"/>
          <w:spacing w:val="-26"/>
          <w:kern w:val="0"/>
          <w:sz w:val="25"/>
          <w:szCs w:val="25"/>
          <w:lang w:eastAsia="en-US"/>
        </w:rPr>
        <w:t>、货物及数量</w:t>
      </w:r>
    </w:p>
    <w:p w14:paraId="4392754C">
      <w:pPr>
        <w:widowControl/>
        <w:numPr>
          <w:ilvl w:val="0"/>
          <w:numId w:val="1"/>
        </w:numPr>
        <w:kinsoku w:val="0"/>
        <w:adjustRightInd w:val="0"/>
        <w:snapToGrid w:val="0"/>
        <w:spacing w:before="77" w:line="540" w:lineRule="exact"/>
        <w:ind w:left="604"/>
        <w:jc w:val="left"/>
        <w:textAlignment w:val="baseline"/>
        <w:rPr>
          <w:rFonts w:ascii="宋体" w:hAnsi="宋体" w:cs="宋体"/>
          <w:snapToGrid w:val="0"/>
          <w:color w:val="000000"/>
          <w:kern w:val="0"/>
          <w:sz w:val="24"/>
        </w:rPr>
      </w:pPr>
      <w:r>
        <w:rPr>
          <w:rFonts w:ascii="宋体" w:hAnsi="宋体" w:cs="宋体"/>
          <w:snapToGrid w:val="0"/>
          <w:color w:val="000000"/>
          <w:kern w:val="0"/>
          <w:sz w:val="24"/>
        </w:rPr>
        <w:t>货物的名称、数量、规格、生产厂家等详见下表。</w:t>
      </w:r>
    </w:p>
    <w:tbl>
      <w:tblPr>
        <w:tblStyle w:val="5"/>
        <w:tblW w:w="95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0"/>
        <w:gridCol w:w="992"/>
        <w:gridCol w:w="1398"/>
        <w:gridCol w:w="787"/>
        <w:gridCol w:w="878"/>
        <w:gridCol w:w="1044"/>
        <w:gridCol w:w="984"/>
        <w:gridCol w:w="984"/>
        <w:gridCol w:w="984"/>
        <w:gridCol w:w="984"/>
      </w:tblGrid>
      <w:tr w14:paraId="6B8C6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2C4514">
            <w:pPr>
              <w:keepNext w:val="0"/>
              <w:keepLines w:val="0"/>
              <w:widowControl/>
              <w:suppressLineNumbers w:val="0"/>
              <w:jc w:val="center"/>
              <w:textAlignment w:val="center"/>
              <w:rPr>
                <w:rFonts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序号</w:t>
            </w:r>
          </w:p>
        </w:tc>
        <w:tc>
          <w:tcPr>
            <w:tcW w:w="1080" w:type="dxa"/>
            <w:tcBorders>
              <w:top w:val="single" w:color="000000" w:sz="8" w:space="0"/>
              <w:left w:val="nil"/>
              <w:bottom w:val="single" w:color="000000" w:sz="8" w:space="0"/>
              <w:right w:val="single" w:color="000000" w:sz="8" w:space="0"/>
            </w:tcBorders>
            <w:shd w:val="clear" w:color="auto" w:fill="auto"/>
            <w:vAlign w:val="center"/>
          </w:tcPr>
          <w:p w14:paraId="2446C347">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材料名称</w:t>
            </w:r>
          </w:p>
        </w:tc>
        <w:tc>
          <w:tcPr>
            <w:tcW w:w="1080" w:type="dxa"/>
            <w:tcBorders>
              <w:top w:val="single" w:color="000000" w:sz="8" w:space="0"/>
              <w:left w:val="nil"/>
              <w:bottom w:val="single" w:color="000000" w:sz="8" w:space="0"/>
              <w:right w:val="single" w:color="000000" w:sz="8" w:space="0"/>
            </w:tcBorders>
            <w:shd w:val="clear" w:color="auto" w:fill="auto"/>
            <w:vAlign w:val="center"/>
          </w:tcPr>
          <w:p w14:paraId="75B6DAE6">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规格、型号</w:t>
            </w:r>
          </w:p>
        </w:tc>
        <w:tc>
          <w:tcPr>
            <w:tcW w:w="840" w:type="dxa"/>
            <w:tcBorders>
              <w:top w:val="single" w:color="000000" w:sz="8" w:space="0"/>
              <w:left w:val="nil"/>
              <w:bottom w:val="single" w:color="000000" w:sz="8" w:space="0"/>
              <w:right w:val="single" w:color="000000" w:sz="8" w:space="0"/>
            </w:tcBorders>
            <w:shd w:val="clear" w:color="auto" w:fill="auto"/>
            <w:vAlign w:val="center"/>
          </w:tcPr>
          <w:p w14:paraId="4E30132C">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单位</w:t>
            </w:r>
          </w:p>
        </w:tc>
        <w:tc>
          <w:tcPr>
            <w:tcW w:w="915" w:type="dxa"/>
            <w:tcBorders>
              <w:top w:val="single" w:color="000000" w:sz="8" w:space="0"/>
              <w:left w:val="nil"/>
              <w:bottom w:val="single" w:color="000000" w:sz="8" w:space="0"/>
              <w:right w:val="single" w:color="000000" w:sz="8" w:space="0"/>
            </w:tcBorders>
            <w:shd w:val="clear" w:color="auto" w:fill="auto"/>
            <w:vAlign w:val="center"/>
          </w:tcPr>
          <w:p w14:paraId="4301B8F7">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数量</w:t>
            </w:r>
          </w:p>
        </w:tc>
        <w:tc>
          <w:tcPr>
            <w:tcW w:w="1080" w:type="dxa"/>
            <w:tcBorders>
              <w:top w:val="single" w:color="000000" w:sz="8" w:space="0"/>
              <w:left w:val="nil"/>
              <w:bottom w:val="single" w:color="000000" w:sz="8" w:space="0"/>
              <w:right w:val="single" w:color="000000" w:sz="8" w:space="0"/>
            </w:tcBorders>
            <w:shd w:val="clear" w:color="auto" w:fill="auto"/>
            <w:vAlign w:val="center"/>
          </w:tcPr>
          <w:p w14:paraId="62EBC2B0">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税率（</w:t>
            </w:r>
            <w:r>
              <w:rPr>
                <w:rStyle w:val="7"/>
                <w:rFonts w:eastAsia="方正楷体简体"/>
                <w:lang w:val="en-US" w:eastAsia="zh-CN" w:bidi="ar"/>
              </w:rPr>
              <w:t>%</w:t>
            </w:r>
            <w:r>
              <w:rPr>
                <w:rStyle w:val="8"/>
                <w:lang w:val="en-US" w:eastAsia="zh-CN" w:bidi="ar"/>
              </w:rPr>
              <w:t>）</w:t>
            </w:r>
          </w:p>
        </w:tc>
        <w:tc>
          <w:tcPr>
            <w:tcW w:w="1005" w:type="dxa"/>
            <w:tcBorders>
              <w:top w:val="single" w:color="000000" w:sz="8" w:space="0"/>
              <w:left w:val="nil"/>
              <w:bottom w:val="single" w:color="000000" w:sz="8" w:space="0"/>
              <w:right w:val="single" w:color="000000" w:sz="8" w:space="0"/>
            </w:tcBorders>
            <w:shd w:val="clear" w:color="auto" w:fill="auto"/>
            <w:vAlign w:val="center"/>
          </w:tcPr>
          <w:p w14:paraId="6AC182F1">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含税单价（元）</w:t>
            </w:r>
          </w:p>
        </w:tc>
        <w:tc>
          <w:tcPr>
            <w:tcW w:w="1005" w:type="dxa"/>
            <w:tcBorders>
              <w:top w:val="single" w:color="000000" w:sz="8" w:space="0"/>
              <w:left w:val="nil"/>
              <w:bottom w:val="single" w:color="000000" w:sz="8" w:space="0"/>
              <w:right w:val="single" w:color="000000" w:sz="8" w:space="0"/>
            </w:tcBorders>
            <w:shd w:val="clear" w:color="auto" w:fill="auto"/>
            <w:vAlign w:val="center"/>
          </w:tcPr>
          <w:p w14:paraId="21E41989">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不含税单价（元）</w:t>
            </w:r>
          </w:p>
        </w:tc>
        <w:tc>
          <w:tcPr>
            <w:tcW w:w="1005" w:type="dxa"/>
            <w:tcBorders>
              <w:top w:val="single" w:color="000000" w:sz="8" w:space="0"/>
              <w:left w:val="nil"/>
              <w:bottom w:val="single" w:color="000000" w:sz="8" w:space="0"/>
              <w:right w:val="single" w:color="000000" w:sz="8" w:space="0"/>
            </w:tcBorders>
            <w:shd w:val="clear" w:color="auto" w:fill="auto"/>
            <w:vAlign w:val="center"/>
          </w:tcPr>
          <w:p w14:paraId="57AC34BF">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含税总价（元）</w:t>
            </w:r>
          </w:p>
        </w:tc>
        <w:tc>
          <w:tcPr>
            <w:tcW w:w="1005" w:type="dxa"/>
            <w:tcBorders>
              <w:top w:val="single" w:color="000000" w:sz="8" w:space="0"/>
              <w:left w:val="nil"/>
              <w:bottom w:val="single" w:color="000000" w:sz="8" w:space="0"/>
              <w:right w:val="single" w:color="000000" w:sz="8" w:space="0"/>
            </w:tcBorders>
            <w:shd w:val="clear" w:color="auto" w:fill="auto"/>
            <w:vAlign w:val="center"/>
          </w:tcPr>
          <w:p w14:paraId="66FBB2A0">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不含税总价（元）</w:t>
            </w:r>
          </w:p>
        </w:tc>
      </w:tr>
      <w:tr w14:paraId="7424D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nil"/>
              <w:left w:val="single" w:color="000000" w:sz="8" w:space="0"/>
              <w:bottom w:val="single" w:color="000000" w:sz="8" w:space="0"/>
              <w:right w:val="single" w:color="000000" w:sz="8" w:space="0"/>
            </w:tcBorders>
            <w:shd w:val="clear" w:color="auto" w:fill="auto"/>
            <w:vAlign w:val="center"/>
          </w:tcPr>
          <w:p w14:paraId="67F2E07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080" w:type="dxa"/>
            <w:tcBorders>
              <w:top w:val="nil"/>
              <w:left w:val="nil"/>
              <w:bottom w:val="single" w:color="000000" w:sz="8" w:space="0"/>
              <w:right w:val="single" w:color="000000" w:sz="8" w:space="0"/>
            </w:tcBorders>
            <w:shd w:val="clear" w:color="auto" w:fill="auto"/>
            <w:vAlign w:val="center"/>
          </w:tcPr>
          <w:p w14:paraId="76EAE79E">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标准砖</w:t>
            </w:r>
          </w:p>
        </w:tc>
        <w:tc>
          <w:tcPr>
            <w:tcW w:w="1080" w:type="dxa"/>
            <w:tcBorders>
              <w:top w:val="nil"/>
              <w:left w:val="nil"/>
              <w:bottom w:val="single" w:color="000000" w:sz="8" w:space="0"/>
              <w:right w:val="single" w:color="000000" w:sz="8" w:space="0"/>
            </w:tcBorders>
            <w:shd w:val="clear" w:color="auto" w:fill="auto"/>
            <w:vAlign w:val="center"/>
          </w:tcPr>
          <w:p w14:paraId="3292D8A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240×115×53</w:t>
            </w:r>
          </w:p>
        </w:tc>
        <w:tc>
          <w:tcPr>
            <w:tcW w:w="840" w:type="dxa"/>
            <w:tcBorders>
              <w:top w:val="nil"/>
              <w:left w:val="nil"/>
              <w:bottom w:val="single" w:color="000000" w:sz="8" w:space="0"/>
              <w:right w:val="single" w:color="000000" w:sz="8" w:space="0"/>
            </w:tcBorders>
            <w:shd w:val="clear" w:color="auto" w:fill="auto"/>
            <w:vAlign w:val="center"/>
          </w:tcPr>
          <w:p w14:paraId="19B0DC0F">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千匹</w:t>
            </w:r>
          </w:p>
        </w:tc>
        <w:tc>
          <w:tcPr>
            <w:tcW w:w="915" w:type="dxa"/>
            <w:tcBorders>
              <w:top w:val="nil"/>
              <w:left w:val="nil"/>
              <w:bottom w:val="single" w:color="000000" w:sz="8" w:space="0"/>
              <w:right w:val="single" w:color="000000" w:sz="8" w:space="0"/>
            </w:tcBorders>
            <w:shd w:val="clear" w:color="auto" w:fill="auto"/>
            <w:vAlign w:val="center"/>
          </w:tcPr>
          <w:p w14:paraId="5B76457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999</w:t>
            </w:r>
          </w:p>
        </w:tc>
        <w:tc>
          <w:tcPr>
            <w:tcW w:w="1080" w:type="dxa"/>
            <w:tcBorders>
              <w:top w:val="nil"/>
              <w:left w:val="nil"/>
              <w:bottom w:val="single" w:color="000000" w:sz="8" w:space="0"/>
              <w:right w:val="single" w:color="000000" w:sz="8" w:space="0"/>
            </w:tcBorders>
            <w:shd w:val="clear" w:color="auto" w:fill="auto"/>
            <w:vAlign w:val="center"/>
          </w:tcPr>
          <w:p w14:paraId="3010D50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6C31460F">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4F18E633">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42853256">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72C20E44">
            <w:pPr>
              <w:jc w:val="center"/>
              <w:rPr>
                <w:rFonts w:hint="default" w:ascii="Times New Roman" w:hAnsi="Times New Roman" w:eastAsia="宋体" w:cs="Times New Roman"/>
                <w:i w:val="0"/>
                <w:iCs w:val="0"/>
                <w:color w:val="000000"/>
                <w:sz w:val="21"/>
                <w:szCs w:val="21"/>
                <w:u w:val="none"/>
              </w:rPr>
            </w:pPr>
          </w:p>
        </w:tc>
      </w:tr>
      <w:tr w14:paraId="5558C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nil"/>
              <w:left w:val="single" w:color="000000" w:sz="8" w:space="0"/>
              <w:bottom w:val="single" w:color="000000" w:sz="8" w:space="0"/>
              <w:right w:val="single" w:color="000000" w:sz="8" w:space="0"/>
            </w:tcBorders>
            <w:shd w:val="clear" w:color="auto" w:fill="auto"/>
            <w:vAlign w:val="center"/>
          </w:tcPr>
          <w:p w14:paraId="12773CF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080" w:type="dxa"/>
            <w:tcBorders>
              <w:top w:val="nil"/>
              <w:left w:val="nil"/>
              <w:bottom w:val="single" w:color="000000" w:sz="8" w:space="0"/>
              <w:right w:val="single" w:color="000000" w:sz="8" w:space="0"/>
            </w:tcBorders>
            <w:shd w:val="clear" w:color="auto" w:fill="auto"/>
            <w:vAlign w:val="center"/>
          </w:tcPr>
          <w:p w14:paraId="6D226E5A">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烧结空心砖</w:t>
            </w:r>
          </w:p>
        </w:tc>
        <w:tc>
          <w:tcPr>
            <w:tcW w:w="1080" w:type="dxa"/>
            <w:tcBorders>
              <w:top w:val="nil"/>
              <w:left w:val="nil"/>
              <w:bottom w:val="single" w:color="000000" w:sz="8" w:space="0"/>
              <w:right w:val="single" w:color="000000" w:sz="8" w:space="0"/>
            </w:tcBorders>
            <w:shd w:val="clear" w:color="auto" w:fill="auto"/>
            <w:vAlign w:val="center"/>
          </w:tcPr>
          <w:p w14:paraId="5C24F11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240×200×115</w:t>
            </w:r>
          </w:p>
        </w:tc>
        <w:tc>
          <w:tcPr>
            <w:tcW w:w="840" w:type="dxa"/>
            <w:tcBorders>
              <w:top w:val="nil"/>
              <w:left w:val="nil"/>
              <w:bottom w:val="single" w:color="000000" w:sz="8" w:space="0"/>
              <w:right w:val="single" w:color="000000" w:sz="8" w:space="0"/>
            </w:tcBorders>
            <w:shd w:val="clear" w:color="auto" w:fill="auto"/>
            <w:vAlign w:val="center"/>
          </w:tcPr>
          <w:p w14:paraId="7AF6879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m³</w:t>
            </w:r>
          </w:p>
        </w:tc>
        <w:tc>
          <w:tcPr>
            <w:tcW w:w="915" w:type="dxa"/>
            <w:tcBorders>
              <w:top w:val="nil"/>
              <w:left w:val="nil"/>
              <w:bottom w:val="single" w:color="000000" w:sz="8" w:space="0"/>
              <w:right w:val="single" w:color="000000" w:sz="8" w:space="0"/>
            </w:tcBorders>
            <w:shd w:val="clear" w:color="auto" w:fill="auto"/>
            <w:vAlign w:val="center"/>
          </w:tcPr>
          <w:p w14:paraId="39FDA7C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3047</w:t>
            </w:r>
          </w:p>
        </w:tc>
        <w:tc>
          <w:tcPr>
            <w:tcW w:w="1080" w:type="dxa"/>
            <w:tcBorders>
              <w:top w:val="nil"/>
              <w:left w:val="nil"/>
              <w:bottom w:val="single" w:color="000000" w:sz="8" w:space="0"/>
              <w:right w:val="single" w:color="000000" w:sz="8" w:space="0"/>
            </w:tcBorders>
            <w:shd w:val="clear" w:color="auto" w:fill="auto"/>
            <w:vAlign w:val="center"/>
          </w:tcPr>
          <w:p w14:paraId="385EA31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6F331104">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635332CC">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72AB63BB">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4062CD1B">
            <w:pPr>
              <w:jc w:val="center"/>
              <w:rPr>
                <w:rFonts w:hint="default" w:ascii="Times New Roman" w:hAnsi="Times New Roman" w:eastAsia="宋体" w:cs="Times New Roman"/>
                <w:i w:val="0"/>
                <w:iCs w:val="0"/>
                <w:color w:val="000000"/>
                <w:sz w:val="21"/>
                <w:szCs w:val="21"/>
                <w:u w:val="none"/>
              </w:rPr>
            </w:pPr>
          </w:p>
        </w:tc>
      </w:tr>
      <w:tr w14:paraId="38548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nil"/>
              <w:left w:val="single" w:color="000000" w:sz="8" w:space="0"/>
              <w:bottom w:val="single" w:color="000000" w:sz="8" w:space="0"/>
              <w:right w:val="single" w:color="000000" w:sz="8" w:space="0"/>
            </w:tcBorders>
            <w:shd w:val="clear" w:color="auto" w:fill="auto"/>
            <w:vAlign w:val="center"/>
          </w:tcPr>
          <w:p w14:paraId="063BE10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080" w:type="dxa"/>
            <w:tcBorders>
              <w:top w:val="nil"/>
              <w:left w:val="nil"/>
              <w:bottom w:val="single" w:color="000000" w:sz="8" w:space="0"/>
              <w:right w:val="single" w:color="000000" w:sz="8" w:space="0"/>
            </w:tcBorders>
            <w:shd w:val="clear" w:color="auto" w:fill="auto"/>
            <w:vAlign w:val="center"/>
          </w:tcPr>
          <w:p w14:paraId="1F34F141">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烧结空心砖</w:t>
            </w:r>
          </w:p>
        </w:tc>
        <w:tc>
          <w:tcPr>
            <w:tcW w:w="1080" w:type="dxa"/>
            <w:tcBorders>
              <w:top w:val="nil"/>
              <w:left w:val="nil"/>
              <w:bottom w:val="single" w:color="000000" w:sz="8" w:space="0"/>
              <w:right w:val="single" w:color="000000" w:sz="8" w:space="0"/>
            </w:tcBorders>
            <w:shd w:val="clear" w:color="auto" w:fill="auto"/>
            <w:vAlign w:val="center"/>
          </w:tcPr>
          <w:p w14:paraId="732265B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240×200×90</w:t>
            </w:r>
          </w:p>
        </w:tc>
        <w:tc>
          <w:tcPr>
            <w:tcW w:w="840" w:type="dxa"/>
            <w:tcBorders>
              <w:top w:val="nil"/>
              <w:left w:val="nil"/>
              <w:bottom w:val="single" w:color="000000" w:sz="8" w:space="0"/>
              <w:right w:val="single" w:color="000000" w:sz="8" w:space="0"/>
            </w:tcBorders>
            <w:shd w:val="clear" w:color="auto" w:fill="auto"/>
            <w:vAlign w:val="center"/>
          </w:tcPr>
          <w:p w14:paraId="1951041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m³</w:t>
            </w:r>
          </w:p>
        </w:tc>
        <w:tc>
          <w:tcPr>
            <w:tcW w:w="915" w:type="dxa"/>
            <w:tcBorders>
              <w:top w:val="nil"/>
              <w:left w:val="nil"/>
              <w:bottom w:val="single" w:color="000000" w:sz="8" w:space="0"/>
              <w:right w:val="single" w:color="000000" w:sz="8" w:space="0"/>
            </w:tcBorders>
            <w:shd w:val="clear" w:color="auto" w:fill="auto"/>
            <w:vAlign w:val="center"/>
          </w:tcPr>
          <w:p w14:paraId="328EED3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1435</w:t>
            </w:r>
          </w:p>
        </w:tc>
        <w:tc>
          <w:tcPr>
            <w:tcW w:w="1080" w:type="dxa"/>
            <w:tcBorders>
              <w:top w:val="nil"/>
              <w:left w:val="nil"/>
              <w:bottom w:val="single" w:color="000000" w:sz="8" w:space="0"/>
              <w:right w:val="single" w:color="000000" w:sz="8" w:space="0"/>
            </w:tcBorders>
            <w:shd w:val="clear" w:color="auto" w:fill="auto"/>
            <w:vAlign w:val="center"/>
          </w:tcPr>
          <w:p w14:paraId="0299466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07580E1E">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4668F267">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071D6B8A">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51115F2D">
            <w:pPr>
              <w:jc w:val="center"/>
              <w:rPr>
                <w:rFonts w:hint="default" w:ascii="Times New Roman" w:hAnsi="Times New Roman" w:eastAsia="宋体" w:cs="Times New Roman"/>
                <w:i w:val="0"/>
                <w:iCs w:val="0"/>
                <w:color w:val="000000"/>
                <w:sz w:val="21"/>
                <w:szCs w:val="21"/>
                <w:u w:val="none"/>
              </w:rPr>
            </w:pPr>
          </w:p>
        </w:tc>
      </w:tr>
      <w:tr w14:paraId="0B776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nil"/>
              <w:left w:val="single" w:color="000000" w:sz="8" w:space="0"/>
              <w:bottom w:val="single" w:color="000000" w:sz="8" w:space="0"/>
              <w:right w:val="single" w:color="000000" w:sz="8" w:space="0"/>
            </w:tcBorders>
            <w:shd w:val="clear" w:color="auto" w:fill="auto"/>
            <w:vAlign w:val="center"/>
          </w:tcPr>
          <w:p w14:paraId="226C529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1080" w:type="dxa"/>
            <w:tcBorders>
              <w:top w:val="nil"/>
              <w:left w:val="nil"/>
              <w:bottom w:val="single" w:color="000000" w:sz="8" w:space="0"/>
              <w:right w:val="single" w:color="000000" w:sz="8" w:space="0"/>
            </w:tcBorders>
            <w:shd w:val="clear" w:color="auto" w:fill="auto"/>
            <w:vAlign w:val="center"/>
          </w:tcPr>
          <w:p w14:paraId="7947CAE5">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加气混凝土块</w:t>
            </w:r>
          </w:p>
        </w:tc>
        <w:tc>
          <w:tcPr>
            <w:tcW w:w="1080" w:type="dxa"/>
            <w:tcBorders>
              <w:top w:val="nil"/>
              <w:left w:val="nil"/>
              <w:bottom w:val="single" w:color="000000" w:sz="8" w:space="0"/>
              <w:right w:val="single" w:color="000000" w:sz="8" w:space="0"/>
            </w:tcBorders>
            <w:shd w:val="clear" w:color="auto" w:fill="auto"/>
            <w:vAlign w:val="center"/>
          </w:tcPr>
          <w:p w14:paraId="4C5DD71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600×200×100</w:t>
            </w:r>
          </w:p>
        </w:tc>
        <w:tc>
          <w:tcPr>
            <w:tcW w:w="840" w:type="dxa"/>
            <w:tcBorders>
              <w:top w:val="nil"/>
              <w:left w:val="nil"/>
              <w:bottom w:val="single" w:color="000000" w:sz="8" w:space="0"/>
              <w:right w:val="single" w:color="000000" w:sz="8" w:space="0"/>
            </w:tcBorders>
            <w:shd w:val="clear" w:color="auto" w:fill="auto"/>
            <w:vAlign w:val="center"/>
          </w:tcPr>
          <w:p w14:paraId="366EC06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m³</w:t>
            </w:r>
          </w:p>
        </w:tc>
        <w:tc>
          <w:tcPr>
            <w:tcW w:w="915" w:type="dxa"/>
            <w:tcBorders>
              <w:top w:val="nil"/>
              <w:left w:val="nil"/>
              <w:bottom w:val="single" w:color="000000" w:sz="8" w:space="0"/>
              <w:right w:val="single" w:color="000000" w:sz="8" w:space="0"/>
            </w:tcBorders>
            <w:shd w:val="clear" w:color="auto" w:fill="auto"/>
            <w:vAlign w:val="center"/>
          </w:tcPr>
          <w:p w14:paraId="40F3141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2486</w:t>
            </w:r>
          </w:p>
        </w:tc>
        <w:tc>
          <w:tcPr>
            <w:tcW w:w="1080" w:type="dxa"/>
            <w:tcBorders>
              <w:top w:val="nil"/>
              <w:left w:val="nil"/>
              <w:bottom w:val="single" w:color="000000" w:sz="8" w:space="0"/>
              <w:right w:val="single" w:color="000000" w:sz="8" w:space="0"/>
            </w:tcBorders>
            <w:shd w:val="clear" w:color="auto" w:fill="auto"/>
            <w:vAlign w:val="center"/>
          </w:tcPr>
          <w:p w14:paraId="2F9EB90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4434BF95">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17925387">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4EBFBB3F">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1D3F5FFD">
            <w:pPr>
              <w:jc w:val="center"/>
              <w:rPr>
                <w:rFonts w:hint="default" w:ascii="Times New Roman" w:hAnsi="Times New Roman" w:eastAsia="宋体" w:cs="Times New Roman"/>
                <w:i w:val="0"/>
                <w:iCs w:val="0"/>
                <w:color w:val="000000"/>
                <w:sz w:val="21"/>
                <w:szCs w:val="21"/>
                <w:u w:val="none"/>
              </w:rPr>
            </w:pPr>
          </w:p>
        </w:tc>
      </w:tr>
      <w:tr w14:paraId="5A6B2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nil"/>
              <w:left w:val="single" w:color="000000" w:sz="8" w:space="0"/>
              <w:bottom w:val="single" w:color="000000" w:sz="8" w:space="0"/>
              <w:right w:val="single" w:color="000000" w:sz="8" w:space="0"/>
            </w:tcBorders>
            <w:shd w:val="clear" w:color="auto" w:fill="auto"/>
            <w:vAlign w:val="center"/>
          </w:tcPr>
          <w:p w14:paraId="74E4A8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1080" w:type="dxa"/>
            <w:tcBorders>
              <w:top w:val="nil"/>
              <w:left w:val="nil"/>
              <w:bottom w:val="single" w:color="000000" w:sz="8" w:space="0"/>
              <w:right w:val="single" w:color="000000" w:sz="8" w:space="0"/>
            </w:tcBorders>
            <w:shd w:val="clear" w:color="auto" w:fill="auto"/>
            <w:vAlign w:val="center"/>
          </w:tcPr>
          <w:p w14:paraId="57130BBE">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加气混凝土块</w:t>
            </w:r>
          </w:p>
        </w:tc>
        <w:tc>
          <w:tcPr>
            <w:tcW w:w="1080" w:type="dxa"/>
            <w:tcBorders>
              <w:top w:val="nil"/>
              <w:left w:val="nil"/>
              <w:bottom w:val="single" w:color="000000" w:sz="8" w:space="0"/>
              <w:right w:val="single" w:color="000000" w:sz="8" w:space="0"/>
            </w:tcBorders>
            <w:shd w:val="clear" w:color="auto" w:fill="auto"/>
            <w:vAlign w:val="center"/>
          </w:tcPr>
          <w:p w14:paraId="3256505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600×200×200</w:t>
            </w:r>
          </w:p>
        </w:tc>
        <w:tc>
          <w:tcPr>
            <w:tcW w:w="840" w:type="dxa"/>
            <w:tcBorders>
              <w:top w:val="nil"/>
              <w:left w:val="nil"/>
              <w:bottom w:val="single" w:color="000000" w:sz="8" w:space="0"/>
              <w:right w:val="single" w:color="000000" w:sz="8" w:space="0"/>
            </w:tcBorders>
            <w:shd w:val="clear" w:color="auto" w:fill="auto"/>
            <w:vAlign w:val="center"/>
          </w:tcPr>
          <w:p w14:paraId="11B3E72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m³</w:t>
            </w:r>
          </w:p>
        </w:tc>
        <w:tc>
          <w:tcPr>
            <w:tcW w:w="915" w:type="dxa"/>
            <w:tcBorders>
              <w:top w:val="nil"/>
              <w:left w:val="nil"/>
              <w:bottom w:val="single" w:color="000000" w:sz="8" w:space="0"/>
              <w:right w:val="single" w:color="000000" w:sz="8" w:space="0"/>
            </w:tcBorders>
            <w:shd w:val="clear" w:color="auto" w:fill="auto"/>
            <w:vAlign w:val="center"/>
          </w:tcPr>
          <w:p w14:paraId="42360B1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1025</w:t>
            </w:r>
          </w:p>
        </w:tc>
        <w:tc>
          <w:tcPr>
            <w:tcW w:w="1080" w:type="dxa"/>
            <w:tcBorders>
              <w:top w:val="nil"/>
              <w:left w:val="nil"/>
              <w:bottom w:val="single" w:color="000000" w:sz="8" w:space="0"/>
              <w:right w:val="single" w:color="000000" w:sz="8" w:space="0"/>
            </w:tcBorders>
            <w:shd w:val="clear" w:color="auto" w:fill="auto"/>
            <w:vAlign w:val="center"/>
          </w:tcPr>
          <w:p w14:paraId="28BC145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450FCE25">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4057F63A">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6949B055">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0E019E60">
            <w:pPr>
              <w:jc w:val="center"/>
              <w:rPr>
                <w:rFonts w:hint="default" w:ascii="Times New Roman" w:hAnsi="Times New Roman" w:eastAsia="宋体" w:cs="Times New Roman"/>
                <w:i w:val="0"/>
                <w:iCs w:val="0"/>
                <w:color w:val="000000"/>
                <w:sz w:val="21"/>
                <w:szCs w:val="21"/>
                <w:u w:val="none"/>
              </w:rPr>
            </w:pPr>
          </w:p>
        </w:tc>
      </w:tr>
      <w:tr w14:paraId="73973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nil"/>
              <w:left w:val="single" w:color="000000" w:sz="8" w:space="0"/>
              <w:bottom w:val="single" w:color="000000" w:sz="8" w:space="0"/>
              <w:right w:val="single" w:color="000000" w:sz="8" w:space="0"/>
            </w:tcBorders>
            <w:shd w:val="clear" w:color="auto" w:fill="auto"/>
            <w:vAlign w:val="center"/>
          </w:tcPr>
          <w:p w14:paraId="11E72ED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1080" w:type="dxa"/>
            <w:tcBorders>
              <w:top w:val="nil"/>
              <w:left w:val="nil"/>
              <w:bottom w:val="single" w:color="000000" w:sz="8" w:space="0"/>
              <w:right w:val="single" w:color="000000" w:sz="8" w:space="0"/>
            </w:tcBorders>
            <w:shd w:val="clear" w:color="auto" w:fill="auto"/>
            <w:vAlign w:val="center"/>
          </w:tcPr>
          <w:p w14:paraId="485C9CAB">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烧结多孔砖</w:t>
            </w:r>
          </w:p>
        </w:tc>
        <w:tc>
          <w:tcPr>
            <w:tcW w:w="1080" w:type="dxa"/>
            <w:tcBorders>
              <w:top w:val="nil"/>
              <w:left w:val="nil"/>
              <w:bottom w:val="single" w:color="000000" w:sz="8" w:space="0"/>
              <w:right w:val="single" w:color="000000" w:sz="8" w:space="0"/>
            </w:tcBorders>
            <w:shd w:val="clear" w:color="auto" w:fill="auto"/>
            <w:vAlign w:val="center"/>
          </w:tcPr>
          <w:p w14:paraId="6BA5CEF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200×115×9</w:t>
            </w:r>
            <w:r>
              <w:rPr>
                <w:rStyle w:val="7"/>
                <w:rFonts w:eastAsia="宋体"/>
                <w:lang w:val="en-US" w:eastAsia="zh-CN" w:bidi="ar"/>
              </w:rPr>
              <w:t>0</w:t>
            </w:r>
          </w:p>
        </w:tc>
        <w:tc>
          <w:tcPr>
            <w:tcW w:w="840" w:type="dxa"/>
            <w:tcBorders>
              <w:top w:val="nil"/>
              <w:left w:val="nil"/>
              <w:bottom w:val="single" w:color="000000" w:sz="8" w:space="0"/>
              <w:right w:val="single" w:color="000000" w:sz="8" w:space="0"/>
            </w:tcBorders>
            <w:shd w:val="clear" w:color="auto" w:fill="auto"/>
            <w:vAlign w:val="center"/>
          </w:tcPr>
          <w:p w14:paraId="12BE2D24">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千匹</w:t>
            </w:r>
          </w:p>
        </w:tc>
        <w:tc>
          <w:tcPr>
            <w:tcW w:w="915" w:type="dxa"/>
            <w:tcBorders>
              <w:top w:val="nil"/>
              <w:left w:val="nil"/>
              <w:bottom w:val="single" w:color="000000" w:sz="8" w:space="0"/>
              <w:right w:val="single" w:color="000000" w:sz="8" w:space="0"/>
            </w:tcBorders>
            <w:shd w:val="clear" w:color="auto" w:fill="auto"/>
            <w:vAlign w:val="center"/>
          </w:tcPr>
          <w:p w14:paraId="505A8A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1319</w:t>
            </w:r>
          </w:p>
        </w:tc>
        <w:tc>
          <w:tcPr>
            <w:tcW w:w="1080" w:type="dxa"/>
            <w:tcBorders>
              <w:top w:val="nil"/>
              <w:left w:val="nil"/>
              <w:bottom w:val="single" w:color="000000" w:sz="8" w:space="0"/>
              <w:right w:val="single" w:color="000000" w:sz="8" w:space="0"/>
            </w:tcBorders>
            <w:shd w:val="clear" w:color="auto" w:fill="auto"/>
            <w:vAlign w:val="center"/>
          </w:tcPr>
          <w:p w14:paraId="0B8762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0A04CDD9">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63BC3821">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09D9A63B">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385884E1">
            <w:pPr>
              <w:jc w:val="center"/>
              <w:rPr>
                <w:rFonts w:hint="default" w:ascii="Times New Roman" w:hAnsi="Times New Roman" w:eastAsia="宋体" w:cs="Times New Roman"/>
                <w:i w:val="0"/>
                <w:iCs w:val="0"/>
                <w:color w:val="000000"/>
                <w:sz w:val="21"/>
                <w:szCs w:val="21"/>
                <w:u w:val="none"/>
              </w:rPr>
            </w:pPr>
          </w:p>
        </w:tc>
      </w:tr>
      <w:tr w14:paraId="1EA1C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nil"/>
              <w:left w:val="single" w:color="000000" w:sz="8" w:space="0"/>
              <w:bottom w:val="single" w:color="000000" w:sz="8" w:space="0"/>
              <w:right w:val="single" w:color="000000" w:sz="8" w:space="0"/>
            </w:tcBorders>
            <w:shd w:val="clear" w:color="auto" w:fill="auto"/>
            <w:vAlign w:val="center"/>
          </w:tcPr>
          <w:p w14:paraId="7A1B737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1080" w:type="dxa"/>
            <w:tcBorders>
              <w:top w:val="nil"/>
              <w:left w:val="nil"/>
              <w:bottom w:val="single" w:color="000000" w:sz="8" w:space="0"/>
              <w:right w:val="single" w:color="000000" w:sz="8" w:space="0"/>
            </w:tcBorders>
            <w:shd w:val="clear" w:color="auto" w:fill="auto"/>
            <w:vAlign w:val="center"/>
          </w:tcPr>
          <w:p w14:paraId="7FC6DBF7">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实心砖</w:t>
            </w:r>
          </w:p>
        </w:tc>
        <w:tc>
          <w:tcPr>
            <w:tcW w:w="1080" w:type="dxa"/>
            <w:tcBorders>
              <w:top w:val="nil"/>
              <w:left w:val="nil"/>
              <w:bottom w:val="single" w:color="000000" w:sz="8" w:space="0"/>
              <w:right w:val="single" w:color="000000" w:sz="8" w:space="0"/>
            </w:tcBorders>
            <w:shd w:val="clear" w:color="auto" w:fill="auto"/>
            <w:vAlign w:val="center"/>
          </w:tcPr>
          <w:p w14:paraId="32E7194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200×115×53</w:t>
            </w:r>
          </w:p>
        </w:tc>
        <w:tc>
          <w:tcPr>
            <w:tcW w:w="840" w:type="dxa"/>
            <w:tcBorders>
              <w:top w:val="nil"/>
              <w:left w:val="nil"/>
              <w:bottom w:val="single" w:color="000000" w:sz="8" w:space="0"/>
              <w:right w:val="single" w:color="000000" w:sz="8" w:space="0"/>
            </w:tcBorders>
            <w:shd w:val="clear" w:color="auto" w:fill="auto"/>
            <w:vAlign w:val="center"/>
          </w:tcPr>
          <w:p w14:paraId="3418EAF7">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千匹</w:t>
            </w:r>
          </w:p>
        </w:tc>
        <w:tc>
          <w:tcPr>
            <w:tcW w:w="915" w:type="dxa"/>
            <w:tcBorders>
              <w:top w:val="nil"/>
              <w:left w:val="nil"/>
              <w:bottom w:val="single" w:color="000000" w:sz="8" w:space="0"/>
              <w:right w:val="single" w:color="000000" w:sz="8" w:space="0"/>
            </w:tcBorders>
            <w:shd w:val="clear" w:color="auto" w:fill="auto"/>
            <w:vAlign w:val="center"/>
          </w:tcPr>
          <w:p w14:paraId="2CA7761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258</w:t>
            </w:r>
          </w:p>
        </w:tc>
        <w:tc>
          <w:tcPr>
            <w:tcW w:w="1080" w:type="dxa"/>
            <w:tcBorders>
              <w:top w:val="nil"/>
              <w:left w:val="nil"/>
              <w:bottom w:val="single" w:color="000000" w:sz="8" w:space="0"/>
              <w:right w:val="single" w:color="000000" w:sz="8" w:space="0"/>
            </w:tcBorders>
            <w:shd w:val="clear" w:color="auto" w:fill="auto"/>
            <w:vAlign w:val="center"/>
          </w:tcPr>
          <w:p w14:paraId="422268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183973F6">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689EA286">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67D94BB3">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67F06467">
            <w:pPr>
              <w:jc w:val="center"/>
              <w:rPr>
                <w:rFonts w:hint="default" w:ascii="Times New Roman" w:hAnsi="Times New Roman" w:eastAsia="宋体" w:cs="Times New Roman"/>
                <w:i w:val="0"/>
                <w:iCs w:val="0"/>
                <w:color w:val="000000"/>
                <w:sz w:val="21"/>
                <w:szCs w:val="21"/>
                <w:u w:val="none"/>
              </w:rPr>
            </w:pPr>
          </w:p>
        </w:tc>
      </w:tr>
      <w:tr w14:paraId="4E6F7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70" w:type="dxa"/>
            <w:tcBorders>
              <w:top w:val="nil"/>
              <w:left w:val="single" w:color="000000" w:sz="8" w:space="0"/>
              <w:bottom w:val="single" w:color="000000" w:sz="8" w:space="0"/>
              <w:right w:val="single" w:color="000000" w:sz="8" w:space="0"/>
            </w:tcBorders>
            <w:shd w:val="clear" w:color="auto" w:fill="auto"/>
            <w:vAlign w:val="center"/>
          </w:tcPr>
          <w:p w14:paraId="3363E0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1080" w:type="dxa"/>
            <w:tcBorders>
              <w:top w:val="nil"/>
              <w:left w:val="nil"/>
              <w:bottom w:val="single" w:color="000000" w:sz="8" w:space="0"/>
              <w:right w:val="single" w:color="000000" w:sz="8" w:space="0"/>
            </w:tcBorders>
            <w:shd w:val="clear" w:color="auto" w:fill="auto"/>
            <w:vAlign w:val="center"/>
          </w:tcPr>
          <w:p w14:paraId="51574B24">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烧结普通砖</w:t>
            </w:r>
          </w:p>
        </w:tc>
        <w:tc>
          <w:tcPr>
            <w:tcW w:w="1080" w:type="dxa"/>
            <w:tcBorders>
              <w:top w:val="nil"/>
              <w:left w:val="nil"/>
              <w:bottom w:val="single" w:color="000000" w:sz="8" w:space="0"/>
              <w:right w:val="single" w:color="000000" w:sz="8" w:space="0"/>
            </w:tcBorders>
            <w:shd w:val="clear" w:color="auto" w:fill="auto"/>
            <w:vAlign w:val="center"/>
          </w:tcPr>
          <w:p w14:paraId="20697C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200×90×53</w:t>
            </w:r>
          </w:p>
        </w:tc>
        <w:tc>
          <w:tcPr>
            <w:tcW w:w="840" w:type="dxa"/>
            <w:tcBorders>
              <w:top w:val="nil"/>
              <w:left w:val="nil"/>
              <w:bottom w:val="single" w:color="000000" w:sz="8" w:space="0"/>
              <w:right w:val="single" w:color="000000" w:sz="8" w:space="0"/>
            </w:tcBorders>
            <w:shd w:val="clear" w:color="auto" w:fill="auto"/>
            <w:vAlign w:val="center"/>
          </w:tcPr>
          <w:p w14:paraId="2995BFC9">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千匹</w:t>
            </w:r>
          </w:p>
        </w:tc>
        <w:tc>
          <w:tcPr>
            <w:tcW w:w="915" w:type="dxa"/>
            <w:tcBorders>
              <w:top w:val="nil"/>
              <w:left w:val="nil"/>
              <w:bottom w:val="single" w:color="000000" w:sz="8" w:space="0"/>
              <w:right w:val="single" w:color="000000" w:sz="8" w:space="0"/>
            </w:tcBorders>
            <w:shd w:val="clear" w:color="auto" w:fill="auto"/>
            <w:vAlign w:val="center"/>
          </w:tcPr>
          <w:p w14:paraId="01D1E1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1080" w:type="dxa"/>
            <w:tcBorders>
              <w:top w:val="nil"/>
              <w:left w:val="nil"/>
              <w:bottom w:val="single" w:color="000000" w:sz="8" w:space="0"/>
              <w:right w:val="single" w:color="000000" w:sz="8" w:space="0"/>
            </w:tcBorders>
            <w:shd w:val="clear" w:color="auto" w:fill="auto"/>
            <w:vAlign w:val="center"/>
          </w:tcPr>
          <w:p w14:paraId="77A235D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4F619DF7">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3E1BC9FF">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1493FB9C">
            <w:pPr>
              <w:jc w:val="cente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23BBBEE7">
            <w:pPr>
              <w:jc w:val="center"/>
              <w:rPr>
                <w:rFonts w:hint="default" w:ascii="Times New Roman" w:hAnsi="Times New Roman" w:eastAsia="宋体" w:cs="Times New Roman"/>
                <w:i w:val="0"/>
                <w:iCs w:val="0"/>
                <w:color w:val="000000"/>
                <w:sz w:val="21"/>
                <w:szCs w:val="21"/>
                <w:u w:val="none"/>
              </w:rPr>
            </w:pPr>
          </w:p>
        </w:tc>
      </w:tr>
      <w:tr w14:paraId="31804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730" w:type="dxa"/>
            <w:gridSpan w:val="3"/>
            <w:tcBorders>
              <w:top w:val="nil"/>
              <w:left w:val="single" w:color="000000" w:sz="8" w:space="0"/>
              <w:bottom w:val="single" w:color="000000" w:sz="8" w:space="0"/>
              <w:right w:val="single" w:color="000000" w:sz="8" w:space="0"/>
            </w:tcBorders>
            <w:shd w:val="clear" w:color="auto" w:fill="auto"/>
            <w:vAlign w:val="center"/>
          </w:tcPr>
          <w:p w14:paraId="4A75F177">
            <w:pPr>
              <w:keepNext w:val="0"/>
              <w:keepLines w:val="0"/>
              <w:widowControl/>
              <w:suppressLineNumbers w:val="0"/>
              <w:jc w:val="center"/>
              <w:textAlignment w:val="center"/>
              <w:rPr>
                <w:rFonts w:hint="eastAsia" w:ascii="方正楷体简体" w:hAnsi="方正楷体简体" w:eastAsia="方正楷体简体" w:cs="方正楷体简体"/>
                <w:i w:val="0"/>
                <w:iCs w:val="0"/>
                <w:color w:val="000000"/>
                <w:sz w:val="21"/>
                <w:szCs w:val="21"/>
                <w:u w:val="none"/>
              </w:rPr>
            </w:pPr>
            <w:r>
              <w:rPr>
                <w:rFonts w:hint="eastAsia" w:ascii="方正楷体简体" w:hAnsi="方正楷体简体" w:eastAsia="方正楷体简体" w:cs="方正楷体简体"/>
                <w:i w:val="0"/>
                <w:iCs w:val="0"/>
                <w:color w:val="000000"/>
                <w:kern w:val="0"/>
                <w:sz w:val="21"/>
                <w:szCs w:val="21"/>
                <w:u w:val="none"/>
                <w:lang w:val="en-US" w:eastAsia="zh-CN" w:bidi="ar"/>
              </w:rPr>
              <w:t>合计</w:t>
            </w:r>
          </w:p>
        </w:tc>
        <w:tc>
          <w:tcPr>
            <w:tcW w:w="840" w:type="dxa"/>
            <w:tcBorders>
              <w:top w:val="nil"/>
              <w:left w:val="single" w:color="000000" w:sz="8" w:space="0"/>
              <w:bottom w:val="single" w:color="000000" w:sz="8" w:space="0"/>
              <w:right w:val="single" w:color="000000" w:sz="8" w:space="0"/>
            </w:tcBorders>
            <w:shd w:val="clear" w:color="auto" w:fill="auto"/>
            <w:vAlign w:val="center"/>
          </w:tcPr>
          <w:p w14:paraId="63313D4F">
            <w:pPr>
              <w:rPr>
                <w:rFonts w:hint="eastAsia" w:ascii="方正楷体简体" w:hAnsi="方正楷体简体" w:eastAsia="方正楷体简体" w:cs="方正楷体简体"/>
                <w:i w:val="0"/>
                <w:iCs w:val="0"/>
                <w:color w:val="000000"/>
                <w:sz w:val="21"/>
                <w:szCs w:val="21"/>
                <w:u w:val="none"/>
              </w:rPr>
            </w:pPr>
          </w:p>
        </w:tc>
        <w:tc>
          <w:tcPr>
            <w:tcW w:w="915" w:type="dxa"/>
            <w:tcBorders>
              <w:top w:val="nil"/>
              <w:left w:val="single" w:color="000000" w:sz="8" w:space="0"/>
              <w:bottom w:val="single" w:color="000000" w:sz="8" w:space="0"/>
              <w:right w:val="single" w:color="000000" w:sz="8" w:space="0"/>
            </w:tcBorders>
            <w:shd w:val="clear" w:color="auto" w:fill="auto"/>
            <w:vAlign w:val="center"/>
          </w:tcPr>
          <w:p w14:paraId="7E469989">
            <w:pPr>
              <w:rPr>
                <w:rFonts w:hint="eastAsia" w:ascii="方正楷体简体" w:hAnsi="方正楷体简体" w:eastAsia="方正楷体简体" w:cs="方正楷体简体"/>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7939971">
            <w:pPr>
              <w:rPr>
                <w:rFonts w:hint="eastAsia" w:ascii="方正楷体简体" w:hAnsi="方正楷体简体" w:eastAsia="方正楷体简体" w:cs="方正楷体简体"/>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484C2A1E">
            <w:pP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10BDFFF4">
            <w:pPr>
              <w:rPr>
                <w:rFonts w:hint="eastAsia" w:ascii="宋体" w:hAnsi="宋体" w:eastAsia="宋体" w:cs="宋体"/>
                <w:i w:val="0"/>
                <w:iCs w:val="0"/>
                <w:color w:val="000000"/>
                <w:sz w:val="22"/>
                <w:szCs w:val="22"/>
                <w:u w:val="none"/>
              </w:rPr>
            </w:pPr>
          </w:p>
        </w:tc>
        <w:tc>
          <w:tcPr>
            <w:tcW w:w="0" w:type="auto"/>
            <w:tcBorders>
              <w:top w:val="nil"/>
              <w:left w:val="nil"/>
              <w:bottom w:val="single" w:color="000000" w:sz="8" w:space="0"/>
              <w:right w:val="single" w:color="000000" w:sz="8" w:space="0"/>
            </w:tcBorders>
            <w:shd w:val="clear" w:color="auto" w:fill="auto"/>
            <w:noWrap/>
            <w:vAlign w:val="center"/>
          </w:tcPr>
          <w:p w14:paraId="0E0F4EC4">
            <w:pPr>
              <w:rPr>
                <w:rFonts w:hint="default" w:ascii="Times New Roman" w:hAnsi="Times New Roman" w:eastAsia="宋体" w:cs="Times New Roman"/>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noWrap/>
            <w:vAlign w:val="center"/>
          </w:tcPr>
          <w:p w14:paraId="47D1B993">
            <w:pPr>
              <w:rPr>
                <w:rFonts w:hint="eastAsia" w:ascii="宋体" w:hAnsi="宋体" w:eastAsia="宋体" w:cs="宋体"/>
                <w:i w:val="0"/>
                <w:iCs w:val="0"/>
                <w:color w:val="000000"/>
                <w:sz w:val="22"/>
                <w:szCs w:val="22"/>
                <w:u w:val="none"/>
              </w:rPr>
            </w:pPr>
          </w:p>
        </w:tc>
      </w:tr>
    </w:tbl>
    <w:p w14:paraId="1C0E3920">
      <w:pPr>
        <w:pStyle w:val="2"/>
        <w:rPr>
          <w:rFonts w:ascii="Times New Roman" w:hAnsi="Times New Roman"/>
          <w:sz w:val="22"/>
          <w:szCs w:val="21"/>
        </w:rPr>
      </w:pPr>
    </w:p>
    <w:p w14:paraId="373C0BB9">
      <w:pPr>
        <w:spacing w:line="360" w:lineRule="exact"/>
        <w:ind w:firstLine="420" w:firstLineChars="200"/>
        <w:jc w:val="left"/>
        <w:rPr>
          <w:rFonts w:ascii="仿宋" w:hAnsi="仿宋" w:cs="仿宋"/>
          <w:b/>
        </w:rPr>
      </w:pPr>
      <w:r>
        <w:rPr>
          <w:rFonts w:hint="eastAsia" w:ascii="仿宋" w:hAnsi="仿宋" w:eastAsia="仿宋" w:cs="仿宋"/>
          <w:bCs/>
        </w:rPr>
        <w:t>注：</w:t>
      </w:r>
      <w:r>
        <w:rPr>
          <w:rFonts w:hint="eastAsia" w:ascii="仿宋" w:hAnsi="仿宋" w:cs="仿宋"/>
          <w:bCs/>
        </w:rPr>
        <w:t>1</w:t>
      </w:r>
      <w:r>
        <w:rPr>
          <w:rFonts w:hint="eastAsia" w:ascii="仿宋" w:hAnsi="仿宋" w:cs="仿宋"/>
          <w:b/>
        </w:rPr>
        <w:t>.</w:t>
      </w:r>
      <w:r>
        <w:rPr>
          <w:rFonts w:hint="eastAsia" w:ascii="仿宋" w:hAnsi="仿宋" w:eastAsia="仿宋" w:cs="仿宋"/>
          <w:bCs/>
        </w:rPr>
        <w:t>表格中规定的材料数量是暂估数量，是根据工程图纸计算的材料需用量，最终以采购人验收签认的实际供货量为准；</w:t>
      </w:r>
    </w:p>
    <w:p w14:paraId="27F715BD">
      <w:pPr>
        <w:spacing w:line="540" w:lineRule="exact"/>
        <w:ind w:firstLine="840" w:firstLineChars="400"/>
        <w:rPr>
          <w:rFonts w:ascii="仿宋" w:hAnsi="仿宋" w:eastAsia="仿宋" w:cs="仿宋"/>
          <w:bCs/>
        </w:rPr>
      </w:pPr>
      <w:r>
        <w:rPr>
          <w:rFonts w:hint="eastAsia" w:ascii="仿宋" w:hAnsi="仿宋" w:cs="仿宋"/>
          <w:bCs/>
        </w:rPr>
        <w:t>2.</w:t>
      </w:r>
      <w:r>
        <w:rPr>
          <w:rFonts w:hint="eastAsia" w:ascii="仿宋" w:hAnsi="仿宋" w:eastAsia="仿宋" w:cs="仿宋"/>
          <w:bCs/>
        </w:rPr>
        <w:t>以上砖砌体价格包含从出厂到施工现场的所有费用（包括但不限于材料费、人工费、机械费、出厂前检测费、运杂费、装车费、保险费、利润、 检验试验费、卸车费等一切该项目施工现场的所有费用）。</w:t>
      </w:r>
    </w:p>
    <w:p w14:paraId="5EFB4BFE">
      <w:pPr>
        <w:spacing w:line="540" w:lineRule="exact"/>
        <w:ind w:firstLine="840" w:firstLineChars="400"/>
        <w:rPr>
          <w:rFonts w:ascii="仿宋" w:hAnsi="仿宋" w:eastAsia="仿宋" w:cs="仿宋"/>
          <w:bCs/>
        </w:rPr>
      </w:pPr>
      <w:r>
        <w:rPr>
          <w:rFonts w:hint="eastAsia" w:ascii="仿宋" w:hAnsi="仿宋" w:eastAsia="仿宋" w:cs="仿宋"/>
          <w:bCs/>
        </w:rPr>
        <w:t>3.</w:t>
      </w:r>
      <w:r>
        <w:rPr>
          <w:rFonts w:hint="eastAsia"/>
        </w:rPr>
        <w:t xml:space="preserve"> </w:t>
      </w:r>
      <w:r>
        <w:rPr>
          <w:rFonts w:hint="eastAsia" w:ascii="仿宋" w:hAnsi="仿宋" w:eastAsia="仿宋" w:cs="仿宋"/>
          <w:bCs/>
        </w:rPr>
        <w:t>若国家税务政策发生变化，则上述单价按调整后的税率同比例调整。</w:t>
      </w:r>
    </w:p>
    <w:p w14:paraId="0C965BFC">
      <w:pPr>
        <w:widowControl/>
        <w:spacing w:line="540" w:lineRule="exact"/>
        <w:ind w:left="210" w:leftChars="100" w:firstLine="210" w:firstLineChars="100"/>
        <w:jc w:val="left"/>
        <w:rPr>
          <w:rFonts w:ascii="宋体" w:hAnsi="宋体" w:cs="宋体"/>
          <w:color w:val="000000"/>
          <w:kern w:val="0"/>
          <w:szCs w:val="21"/>
        </w:rPr>
      </w:pPr>
      <w:r>
        <w:rPr>
          <w:rFonts w:ascii="宋体" w:hAnsi="宋体" w:cs="宋体"/>
          <w:color w:val="000000"/>
          <w:kern w:val="0"/>
          <w:szCs w:val="21"/>
        </w:rPr>
        <w:t>2、</w:t>
      </w:r>
      <w:r>
        <w:rPr>
          <w:rFonts w:hint="eastAsia" w:ascii="宋体" w:hAnsi="宋体" w:cs="宋体"/>
          <w:color w:val="000000"/>
          <w:kern w:val="0"/>
          <w:szCs w:val="21"/>
        </w:rPr>
        <w:t>本次采购预算含税金额为</w:t>
      </w:r>
      <w:r>
        <w:rPr>
          <w:rFonts w:ascii="宋体" w:hAnsi="宋体" w:cs="宋体"/>
          <w:color w:val="000000"/>
          <w:kern w:val="0"/>
          <w:szCs w:val="21"/>
        </w:rPr>
        <w:t>：¥ :</w:t>
      </w:r>
      <w:r>
        <w:rPr>
          <w:rFonts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ascii="宋体" w:hAnsi="宋体" w:cs="宋体"/>
          <w:color w:val="000000"/>
          <w:kern w:val="0"/>
          <w:szCs w:val="21"/>
          <w:u w:val="single"/>
        </w:rPr>
        <w:t xml:space="preserve"> </w:t>
      </w:r>
      <w:r>
        <w:rPr>
          <w:rFonts w:ascii="宋体" w:hAnsi="宋体" w:cs="宋体"/>
          <w:color w:val="000000"/>
          <w:kern w:val="0"/>
          <w:szCs w:val="21"/>
        </w:rPr>
        <w:t>元 ,</w:t>
      </w:r>
      <w:r>
        <w:rPr>
          <w:rFonts w:hint="eastAsia"/>
        </w:rPr>
        <w:t xml:space="preserve"> </w:t>
      </w:r>
      <w:r>
        <w:rPr>
          <w:rFonts w:hint="eastAsia" w:ascii="宋体" w:hAnsi="宋体" w:cs="宋体"/>
          <w:color w:val="000000"/>
          <w:kern w:val="0"/>
          <w:szCs w:val="21"/>
        </w:rPr>
        <w:t>其中，不含税金额：¥ :</w:t>
      </w:r>
      <w:r>
        <w:rPr>
          <w:u w:val="single"/>
        </w:rPr>
        <w:t xml:space="preserve"> </w:t>
      </w:r>
      <w:r>
        <w:rPr>
          <w:rFonts w:hint="eastAsia"/>
          <w:u w:val="single"/>
          <w:lang w:val="en-US" w:eastAsia="zh-CN"/>
        </w:rPr>
        <w:t xml:space="preserve">       </w:t>
      </w:r>
      <w:r>
        <w:rPr>
          <w:rFonts w:hint="eastAsia" w:ascii="宋体" w:hAnsi="宋体" w:cs="宋体"/>
          <w:color w:val="000000"/>
          <w:kern w:val="0"/>
          <w:szCs w:val="21"/>
        </w:rPr>
        <w:t>元，增值税额：¥ :</w:t>
      </w:r>
      <w:r>
        <w:rPr>
          <w:u w:val="single"/>
        </w:rPr>
        <w:t xml:space="preserve"> </w:t>
      </w:r>
      <w:r>
        <w:rPr>
          <w:rFonts w:hint="eastAsia"/>
          <w:u w:val="single"/>
          <w:lang w:val="en-US" w:eastAsia="zh-CN"/>
        </w:rPr>
        <w:t xml:space="preserve">      </w:t>
      </w:r>
      <w:r>
        <w:rPr>
          <w:rFonts w:hint="eastAsia" w:ascii="宋体" w:hAnsi="宋体" w:cs="宋体"/>
          <w:color w:val="000000"/>
          <w:kern w:val="0"/>
          <w:szCs w:val="21"/>
        </w:rPr>
        <w:t>元（税率13%，增值税税率根据国家现行政策执行,只调整税金额度,不调整不含税价款）。</w:t>
      </w:r>
      <w:r>
        <w:rPr>
          <w:rFonts w:ascii="宋体" w:hAnsi="宋体" w:cs="宋体"/>
          <w:color w:val="000000"/>
          <w:kern w:val="0"/>
          <w:szCs w:val="21"/>
        </w:rPr>
        <w:t>供货数量、时间和地点以甲方需求计划为准，以上数量为暂估量，结算数量为甲方实收合格数量，甲方有权对合同中的数量和交货时间做调整，乙方不得有异议，最终供货数量未达到暂估数量时，乙方不得以供货数量不足向甲方主张任何权利。</w:t>
      </w:r>
    </w:p>
    <w:p w14:paraId="2D81ED8E">
      <w:pPr>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3、本合同总价为暂估总价，甲方有权调整合同中材料计划或材料数量，材料数量和规格的调整，不影响本合同单价及其他条款的执行。</w:t>
      </w:r>
    </w:p>
    <w:p w14:paraId="51AB7B3F">
      <w:pPr>
        <w:kinsoku w:val="0"/>
        <w:adjustRightInd w:val="0"/>
        <w:snapToGrid w:val="0"/>
        <w:spacing w:before="80" w:line="540" w:lineRule="exact"/>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3"/>
          <w:kern w:val="0"/>
          <w:sz w:val="25"/>
          <w:szCs w:val="25"/>
        </w:rPr>
        <w:t>二、技术标准(包括质量要求)</w:t>
      </w:r>
    </w:p>
    <w:p w14:paraId="108E5ABE">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进场的物资必须符合国家标准和行业标准及甲方提出的要求，如发生质量问题，甲方有权拒收或要求乙方包退、包换，确保进场材料质量合格率100%,并须在材料进场的同时提供材料的质量检验部门的产品材质证明书(甲方有权对所采购的材料进行进一步检测),且材质证明书内容要和现场进料单及标牌所标明内容相对应。</w:t>
      </w:r>
    </w:p>
    <w:p w14:paraId="53B59EEF">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材料质量应严格符合工程所需材料质量验收标准、设计、合同及有关工程施工及验收规范的要求。同时，乙方的材料质量必须满足甲方保证工程质量而对质量、服务等提出的各种进一步要求，并以之为依据出具详尽的服务承诺。否则，甲方有权随时解除合同，由此造成甲方工期延误的损失及紧急订货增加的费用等均由乙方承担。</w:t>
      </w:r>
    </w:p>
    <w:p w14:paraId="3867E27F">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乙方的产品应符合国家有关环保法律法规的规定以及环境体系要求，不能对施工环境造成污染；同时，该货物还应该符合职业安全健康管理体系标准的要求，不能对接触货物的有关人员及竣工后的使用人员的健康造成危害。</w:t>
      </w:r>
    </w:p>
    <w:p w14:paraId="396E9E8F">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4、若上述标准不一致的，则执行上述标准中最严格的标准；若上述标准与现行国家标准或行业标准不一致或合同执行过程中若出现新的国家标准及行业标准，则以最新的标准为准。</w:t>
      </w:r>
    </w:p>
    <w:p w14:paraId="05B04828">
      <w:pPr>
        <w:kinsoku w:val="0"/>
        <w:adjustRightInd w:val="0"/>
        <w:snapToGrid w:val="0"/>
        <w:spacing w:before="63" w:line="540" w:lineRule="exact"/>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14"/>
          <w:kern w:val="0"/>
          <w:sz w:val="25"/>
          <w:szCs w:val="25"/>
        </w:rPr>
        <w:t>三、质量保证期</w:t>
      </w:r>
    </w:p>
    <w:p w14:paraId="4A1A1409">
      <w:pPr>
        <w:widowControl/>
        <w:spacing w:line="54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甲方对产品的质量要求贯穿于施工前后的整个过程及工程完工后的保修期内。使用过程中才能发现质量缺陷的材料，在甲方提出质量异议后，乙方应立即予以无偿更换并赔偿因质量问题给甲方及工程造成的损失。乙方借故推脱或无理由拒绝甲方提出的维修、更换服务要求，甲方或工程业主可以自行解决，并对维修或更换服务以实际发生费用或市场价(以较高者为准)从甲方应支付给乙方的合同款项中扣除得到补偿。甲方根据合同规定对乙方行使的其他权利不受影响，并保留进一步索赔的权利。维修或更换后的货物的质量保证期相应延长。</w:t>
      </w:r>
    </w:p>
    <w:p w14:paraId="5B811262">
      <w:pPr>
        <w:widowControl/>
        <w:spacing w:line="54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、质量保证期后乙方仍应承担售后服务。乙方必须在接到甲方或工程业主提出书面要求后2日内给予书面答复，并提供相应服务，以达到本工程项目业主满意。</w:t>
      </w:r>
    </w:p>
    <w:p w14:paraId="3B593368">
      <w:pPr>
        <w:kinsoku w:val="0"/>
        <w:adjustRightInd w:val="0"/>
        <w:snapToGrid w:val="0"/>
        <w:spacing w:before="76" w:line="540" w:lineRule="exact"/>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15"/>
          <w:kern w:val="0"/>
          <w:sz w:val="25"/>
          <w:szCs w:val="25"/>
        </w:rPr>
        <w:t>四、交货方法、交货地点、交货期限</w:t>
      </w:r>
    </w:p>
    <w:p w14:paraId="339C1E28">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1、交货地点：</w:t>
      </w:r>
      <w:r>
        <w:rPr>
          <w:rFonts w:ascii="宋体" w:hAnsi="宋体" w:cs="宋体"/>
          <w:color w:val="000000"/>
          <w:kern w:val="0"/>
          <w:szCs w:val="21"/>
          <w:u w:val="single"/>
        </w:rPr>
        <w:t xml:space="preserve"> </w:t>
      </w:r>
      <w:r>
        <w:rPr>
          <w:rFonts w:hint="eastAsia" w:ascii="宋体" w:hAnsi="宋体" w:cs="宋体"/>
          <w:color w:val="000000"/>
          <w:kern w:val="0"/>
          <w:szCs w:val="21"/>
          <w:u w:val="single"/>
        </w:rPr>
        <w:t>甲方指定</w:t>
      </w:r>
      <w:r>
        <w:rPr>
          <w:rFonts w:hint="eastAsia" w:ascii="宋体" w:hAnsi="宋体" w:cs="宋体"/>
          <w:kern w:val="0"/>
          <w:szCs w:val="21"/>
          <w:u w:val="single"/>
        </w:rPr>
        <w:t>项目所在地</w:t>
      </w:r>
      <w:r>
        <w:rPr>
          <w:rFonts w:ascii="宋体" w:hAnsi="宋体" w:cs="宋体"/>
          <w:color w:val="000000"/>
          <w:kern w:val="0"/>
          <w:szCs w:val="21"/>
          <w:u w:val="single"/>
        </w:rPr>
        <w:t xml:space="preserve"> </w:t>
      </w:r>
      <w:r>
        <w:rPr>
          <w:rFonts w:hint="eastAsia" w:ascii="宋体" w:hAnsi="宋体" w:cs="宋体"/>
          <w:color w:val="000000"/>
          <w:kern w:val="0"/>
          <w:szCs w:val="21"/>
        </w:rPr>
        <w:t>。</w:t>
      </w:r>
    </w:p>
    <w:p w14:paraId="0EC0C48F">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乙方必须保证按甲方的供货通知所要求的规格、数量、时间，供应甲方合同明细中要求的合格物资并运输和卸入指定地点，否则甲方可以在不需要征得乙方同意的条件下将乙方的保证金扣除，并有追索其他损失的权利。</w:t>
      </w:r>
    </w:p>
    <w:p w14:paraId="3B1D08F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2、乙方应随同每批物资发运附一份发货物资清单、出厂质量检验合格证书等必要文件，否则，甲方有权拒收。</w:t>
      </w:r>
    </w:p>
    <w:p w14:paraId="6261E045">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物资运抵交货地点后，甲乙双方及施工、监理单位应按乙方提供的发货物资清单对到货数量、外观、规格型号、合格证等进行核对。如发现包装破损，应作出记录并立即检查，确认是否对物资本身造成损伤。如确认对物资本身造成了损伤，乙方应及时更换被损伤的物资，或者免费进行必要的补救以达到物资出厂的标准。</w:t>
      </w:r>
    </w:p>
    <w:p w14:paraId="5981D38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4、物资经验收合格后，甲方向乙方出具验收单据。此验收合格的单据不作为判定物资质量的依据。</w:t>
      </w:r>
    </w:p>
    <w:p w14:paraId="5666B7AB">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5、甲方出具验收单据后，物资所有权转移给甲方，但并不解除乙方对其物资应负的质量责任。</w:t>
      </w:r>
    </w:p>
    <w:p w14:paraId="634683D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6、甲方有权对验收合格后的物资交有资质的检验部门随机抽样检验，检验结果直接作为判定乙方交付货物质量是否符合约定即法律规定的依据；如果任何被检测或测试的物资不能满足技术规格的要求，乙方应及时更换</w:t>
      </w:r>
      <w:r>
        <w:rPr>
          <w:rFonts w:hint="eastAsia" w:ascii="宋体" w:hAnsi="宋体" w:cs="宋体"/>
          <w:color w:val="000000"/>
          <w:kern w:val="0"/>
          <w:szCs w:val="21"/>
        </w:rPr>
        <w:t>该批次所有砖砌体并承担损失</w:t>
      </w:r>
      <w:r>
        <w:rPr>
          <w:rFonts w:ascii="宋体" w:hAnsi="宋体" w:cs="宋体"/>
          <w:color w:val="000000"/>
          <w:kern w:val="0"/>
          <w:szCs w:val="21"/>
        </w:rPr>
        <w:t>，或者根据甲方要求对缺陷免费进行修复以满足技术规格的要求，并承担该部分检验费用。</w:t>
      </w:r>
    </w:p>
    <w:p w14:paraId="71DBF1E5">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7、甲方在物资到达最终目的地后对物资进行检验、测试及必要时拒绝接受物资的权利应不会因为物资在从乙方制造厂启运前通过了甲方或其代表的检验、测试和认可而受到限制或放弃。</w:t>
      </w:r>
    </w:p>
    <w:p w14:paraId="6C6C50A3">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8、交货日期：以甲方通知为准，以物资实际运送到合同指定地点并由甲方指定人员签收的日期为乙方的实际交货日期，并以此来确定是否构成逾期交货。</w:t>
      </w:r>
    </w:p>
    <w:p w14:paraId="12F7724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9、按甲方需用计划的要求，将本合同约定的材料保质、保量(乙方应具有应对施工高峰期和汛期的应急措施)、及时、齐备配套地供应到甲方指定地点。</w:t>
      </w:r>
    </w:p>
    <w:p w14:paraId="3FA75BEB">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10、乙方应全方位保证并满足甲方的材料需要，合同执行过程中乙方不得停止供货并将产品出售给其他购货单位。</w:t>
      </w:r>
    </w:p>
    <w:p w14:paraId="34E2B4FD">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11、乙方应以最适宜保护物资性能、质量的运输方式运送。对于物资运送到指定地点并经验收合格之前发生的一切损坏(包括外观、性能等方面)、数量损失等均由乙方自行承担。</w:t>
      </w:r>
    </w:p>
    <w:p w14:paraId="015CE1F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12、乙方应遵守当地政府、建设单位、甲方有关现场的通道、保安、通行证的发放以及同类项目的一切法律及规定；并应遵守可能由当地政府颁发的有关物料运送现场的时限及通道的限制规定。同时，乙方不得以不清楚工地现场的情况为借口而要求延长交货期限。</w:t>
      </w:r>
    </w:p>
    <w:p w14:paraId="7052E6E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13、乙方供应物资应根据工程进展情况需要使用前预计足够时间(必须符合甲方的要求)运抵现场，以确保甲方负责施工的工程竣工工期不会出现任何延误。</w:t>
      </w:r>
    </w:p>
    <w:p w14:paraId="546751AD">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14、乙方必须配合工程需用物资计划，物资计划会在工程进行中不断修订，乙方仍须在修订后的计划时间内，及时供应符合合同质量要求的物资。</w:t>
      </w:r>
    </w:p>
    <w:p w14:paraId="2A7981E5">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15、乙方不得将甲方所制定的物资需用计划的更改作为要求索赔的理由。</w:t>
      </w:r>
    </w:p>
    <w:p w14:paraId="214746FA">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16、乙方必须按甲方随时发出的通知要求的日期进行交货，若未按甲方规定时间交货，乙方将负责因此造成的损失，且甲方有权核减乙方供应量直至终止与乙方的合同。</w:t>
      </w:r>
    </w:p>
    <w:p w14:paraId="5CB449CC">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17、乙方必须对自身出入甲方现场的人员进行安全交底，对因非甲方造成的安全事故承担全部责任。</w:t>
      </w:r>
    </w:p>
    <w:p w14:paraId="529A9F6C">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18、乙方进入甲方现场人员必须听从甲方管理人员的管理，进场车辆必须听从调度，遵守甲方现场文明工地等有关管理制度。对不听从甲方管理的人员、车辆，甲方有权清理出场。由此影响施工所造成的一切损失由乙方承担责任。</w:t>
      </w:r>
    </w:p>
    <w:p w14:paraId="29B0E052">
      <w:pPr>
        <w:kinsoku w:val="0"/>
        <w:adjustRightInd w:val="0"/>
        <w:snapToGrid w:val="0"/>
        <w:spacing w:before="57" w:line="540" w:lineRule="exact"/>
        <w:ind w:left="536"/>
        <w:textAlignment w:val="baseline"/>
        <w:outlineLvl w:val="0"/>
        <w:rPr>
          <w:rFonts w:ascii="仿宋" w:hAnsi="仿宋" w:eastAsia="仿宋" w:cs="仿宋"/>
          <w:snapToGrid w:val="0"/>
          <w:color w:val="000000"/>
          <w:kern w:val="0"/>
          <w:sz w:val="24"/>
        </w:rPr>
      </w:pPr>
      <w:r>
        <w:rPr>
          <w:rFonts w:ascii="仿宋" w:hAnsi="仿宋" w:eastAsia="仿宋" w:cs="仿宋"/>
          <w:b/>
          <w:bCs/>
          <w:snapToGrid w:val="0"/>
          <w:color w:val="000000"/>
          <w:spacing w:val="-14"/>
          <w:kern w:val="0"/>
          <w:sz w:val="24"/>
        </w:rPr>
        <w:t>五</w:t>
      </w:r>
      <w:r>
        <w:rPr>
          <w:rFonts w:ascii="仿宋" w:hAnsi="仿宋" w:eastAsia="仿宋" w:cs="仿宋"/>
          <w:snapToGrid w:val="0"/>
          <w:color w:val="000000"/>
          <w:spacing w:val="-39"/>
          <w:kern w:val="0"/>
          <w:sz w:val="24"/>
        </w:rPr>
        <w:t xml:space="preserve"> </w:t>
      </w:r>
      <w:r>
        <w:rPr>
          <w:rFonts w:ascii="仿宋" w:hAnsi="仿宋" w:eastAsia="仿宋" w:cs="仿宋"/>
          <w:b/>
          <w:bCs/>
          <w:snapToGrid w:val="0"/>
          <w:color w:val="000000"/>
          <w:spacing w:val="-14"/>
          <w:kern w:val="0"/>
          <w:sz w:val="24"/>
        </w:rPr>
        <w:t>、货款的结算及支付方式：</w:t>
      </w:r>
    </w:p>
    <w:p w14:paraId="665ED3E5">
      <w:pPr>
        <w:pStyle w:val="2"/>
        <w:ind w:firstLine="420" w:firstLineChars="200"/>
        <w:rPr>
          <w:rFonts w:ascii="宋体" w:hAnsi="宋体" w:cs="宋体"/>
          <w:color w:val="000000"/>
          <w:kern w:val="0"/>
          <w:sz w:val="21"/>
          <w:szCs w:val="21"/>
        </w:rPr>
      </w:pPr>
      <w:r>
        <w:rPr>
          <w:rFonts w:ascii="宋体" w:hAnsi="宋体" w:cs="宋体"/>
          <w:color w:val="000000"/>
          <w:kern w:val="0"/>
          <w:sz w:val="21"/>
          <w:szCs w:val="21"/>
        </w:rPr>
        <w:t>5.1</w:t>
      </w:r>
      <w:r>
        <w:rPr>
          <w:rFonts w:hint="eastAsia" w:ascii="宋体" w:hAnsi="宋体" w:cs="宋体"/>
          <w:color w:val="000000"/>
          <w:kern w:val="0"/>
          <w:sz w:val="21"/>
          <w:szCs w:val="21"/>
        </w:rPr>
        <w:t>结算</w:t>
      </w:r>
      <w:r>
        <w:rPr>
          <w:rFonts w:ascii="宋体" w:hAnsi="宋体" w:cs="宋体"/>
          <w:color w:val="000000"/>
          <w:kern w:val="0"/>
          <w:sz w:val="21"/>
          <w:szCs w:val="21"/>
        </w:rPr>
        <w:t>方式：</w:t>
      </w:r>
    </w:p>
    <w:p w14:paraId="7F84047D">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1.结算数量：均以</w:t>
      </w:r>
      <w:r>
        <w:rPr>
          <w:rFonts w:hint="eastAsia" w:ascii="宋体" w:hAnsi="宋体" w:cs="宋体"/>
          <w:color w:val="000000"/>
          <w:kern w:val="0"/>
          <w:szCs w:val="21"/>
        </w:rPr>
        <w:t>甲方</w:t>
      </w:r>
      <w:r>
        <w:rPr>
          <w:rFonts w:ascii="宋体" w:hAnsi="宋体" w:cs="宋体"/>
          <w:color w:val="000000"/>
          <w:kern w:val="0"/>
          <w:szCs w:val="21"/>
        </w:rPr>
        <w:t>现场代表签字确认的送货小票作为双方结算依据，按实际供货量结算。</w:t>
      </w:r>
    </w:p>
    <w:p w14:paraId="7A15075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2.结算单价：以中标价作为结算单价，不做调整</w:t>
      </w:r>
      <w:r>
        <w:rPr>
          <w:rFonts w:hint="eastAsia" w:ascii="宋体" w:hAnsi="宋体" w:cs="宋体"/>
          <w:color w:val="000000"/>
          <w:kern w:val="0"/>
          <w:szCs w:val="21"/>
        </w:rPr>
        <w:t>。详情见中标通知书。</w:t>
      </w:r>
    </w:p>
    <w:p w14:paraId="0CB03FD1">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5.2合同价款的支付：</w:t>
      </w:r>
    </w:p>
    <w:p w14:paraId="3CFBB514">
      <w:pPr>
        <w:widowControl/>
        <w:spacing w:line="540" w:lineRule="exact"/>
        <w:ind w:firstLine="420" w:firstLineChars="200"/>
        <w:jc w:val="left"/>
        <w:rPr>
          <w:rFonts w:ascii="宋体" w:hAnsi="宋体" w:cs="宋体"/>
          <w:color w:val="000000"/>
          <w:kern w:val="0"/>
          <w:szCs w:val="21"/>
          <w:lang w:eastAsia="en-US"/>
        </w:rPr>
      </w:pPr>
      <w:r>
        <w:rPr>
          <w:rFonts w:ascii="宋体" w:hAnsi="宋体" w:cs="宋体"/>
          <w:color w:val="000000"/>
          <w:kern w:val="0"/>
          <w:szCs w:val="21"/>
          <w:lang w:eastAsia="en-US"/>
        </w:rPr>
        <w:t>1、付款方式</w:t>
      </w:r>
    </w:p>
    <w:p w14:paraId="52D916A2">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（1）砖砌体：</w:t>
      </w:r>
      <w:r>
        <w:rPr>
          <w:rFonts w:hint="eastAsia" w:ascii="宋体" w:hAnsi="宋体" w:cs="宋体"/>
          <w:color w:val="000000"/>
          <w:kern w:val="0"/>
          <w:szCs w:val="21"/>
        </w:rPr>
        <w:t>乙方每月25日前将该月度所供钢筋相关资料报甲方，由甲方核对资料后，于次月支付实际月结算款金额的60%给乙方，供货完成后60日内，支付至结算金额的80%，项目竣工后1年以内，支付至结算款金额的100%，并扣除应扣款项。</w:t>
      </w:r>
      <w:r>
        <w:rPr>
          <w:rFonts w:ascii="宋体" w:hAnsi="宋体" w:cs="宋体"/>
          <w:color w:val="000000"/>
          <w:kern w:val="0"/>
          <w:szCs w:val="21"/>
        </w:rPr>
        <w:t>（2）</w:t>
      </w:r>
      <w:r>
        <w:rPr>
          <w:rFonts w:hint="eastAsia" w:ascii="宋体" w:hAnsi="宋体" w:cs="宋体"/>
          <w:color w:val="000000"/>
          <w:kern w:val="0"/>
          <w:szCs w:val="21"/>
        </w:rPr>
        <w:t>甲方</w:t>
      </w:r>
      <w:r>
        <w:rPr>
          <w:rFonts w:ascii="宋体" w:hAnsi="宋体" w:cs="宋体"/>
          <w:color w:val="000000"/>
          <w:kern w:val="0"/>
          <w:szCs w:val="21"/>
        </w:rPr>
        <w:t>可采取银行转账或承兑汇票方式向</w:t>
      </w:r>
      <w:r>
        <w:rPr>
          <w:rFonts w:hint="eastAsia" w:ascii="宋体" w:hAnsi="宋体" w:cs="宋体"/>
          <w:color w:val="000000"/>
          <w:kern w:val="0"/>
          <w:szCs w:val="21"/>
        </w:rPr>
        <w:t>乙方</w:t>
      </w:r>
      <w:r>
        <w:rPr>
          <w:rFonts w:ascii="宋体" w:hAnsi="宋体" w:cs="宋体"/>
          <w:color w:val="000000"/>
          <w:kern w:val="0"/>
          <w:szCs w:val="21"/>
        </w:rPr>
        <w:t>支付</w:t>
      </w:r>
      <w:r>
        <w:rPr>
          <w:rFonts w:hint="eastAsia" w:ascii="宋体" w:hAnsi="宋体" w:cs="宋体"/>
          <w:color w:val="000000"/>
          <w:kern w:val="0"/>
          <w:szCs w:val="21"/>
        </w:rPr>
        <w:t>材料</w:t>
      </w:r>
      <w:r>
        <w:rPr>
          <w:rFonts w:ascii="宋体" w:hAnsi="宋体" w:cs="宋体"/>
          <w:color w:val="000000"/>
          <w:kern w:val="0"/>
          <w:szCs w:val="21"/>
        </w:rPr>
        <w:t>款，且</w:t>
      </w:r>
      <w:r>
        <w:rPr>
          <w:rFonts w:hint="eastAsia" w:ascii="宋体" w:hAnsi="宋体" w:cs="宋体"/>
          <w:color w:val="000000"/>
          <w:kern w:val="0"/>
          <w:szCs w:val="21"/>
        </w:rPr>
        <w:t>甲方</w:t>
      </w:r>
      <w:r>
        <w:rPr>
          <w:rFonts w:ascii="宋体" w:hAnsi="宋体" w:cs="宋体"/>
          <w:color w:val="000000"/>
          <w:kern w:val="0"/>
          <w:szCs w:val="21"/>
        </w:rPr>
        <w:t>不承担承兑汇票的贴现费用，由</w:t>
      </w:r>
      <w:r>
        <w:rPr>
          <w:rFonts w:hint="eastAsia" w:ascii="宋体" w:hAnsi="宋体" w:cs="宋体"/>
          <w:color w:val="000000"/>
          <w:kern w:val="0"/>
          <w:szCs w:val="21"/>
        </w:rPr>
        <w:t>乙方</w:t>
      </w:r>
      <w:r>
        <w:rPr>
          <w:rFonts w:ascii="宋体" w:hAnsi="宋体" w:cs="宋体"/>
          <w:color w:val="000000"/>
          <w:kern w:val="0"/>
          <w:szCs w:val="21"/>
        </w:rPr>
        <w:t>自理。</w:t>
      </w:r>
    </w:p>
    <w:p w14:paraId="783F7F4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w:t>
      </w:r>
      <w:r>
        <w:rPr>
          <w:rFonts w:hint="eastAsia" w:ascii="宋体" w:hAnsi="宋体" w:cs="宋体"/>
          <w:color w:val="000000"/>
          <w:kern w:val="0"/>
          <w:szCs w:val="21"/>
        </w:rPr>
        <w:t>甲方</w:t>
      </w:r>
      <w:r>
        <w:rPr>
          <w:rFonts w:ascii="宋体" w:hAnsi="宋体" w:cs="宋体"/>
          <w:color w:val="000000"/>
          <w:kern w:val="0"/>
          <w:szCs w:val="21"/>
        </w:rPr>
        <w:t>支付款项前，</w:t>
      </w:r>
      <w:r>
        <w:rPr>
          <w:rFonts w:hint="eastAsia" w:ascii="宋体" w:hAnsi="宋体" w:cs="宋体"/>
          <w:color w:val="000000"/>
          <w:kern w:val="0"/>
          <w:szCs w:val="21"/>
        </w:rPr>
        <w:t>乙方</w:t>
      </w:r>
      <w:r>
        <w:rPr>
          <w:rFonts w:ascii="宋体" w:hAnsi="宋体" w:cs="宋体"/>
          <w:color w:val="000000"/>
          <w:kern w:val="0"/>
          <w:szCs w:val="21"/>
        </w:rPr>
        <w:t>须先行向</w:t>
      </w:r>
      <w:r>
        <w:rPr>
          <w:rFonts w:hint="eastAsia" w:ascii="宋体" w:hAnsi="宋体" w:cs="宋体"/>
          <w:color w:val="000000"/>
          <w:kern w:val="0"/>
          <w:szCs w:val="21"/>
        </w:rPr>
        <w:t>甲方</w:t>
      </w:r>
      <w:r>
        <w:rPr>
          <w:rFonts w:ascii="宋体" w:hAnsi="宋体" w:cs="宋体"/>
          <w:color w:val="000000"/>
          <w:kern w:val="0"/>
          <w:szCs w:val="21"/>
        </w:rPr>
        <w:t>提供等额、合法且有效的增值税专用发票及请款申请，否则，</w:t>
      </w:r>
      <w:r>
        <w:rPr>
          <w:rFonts w:hint="eastAsia" w:ascii="宋体" w:hAnsi="宋体" w:cs="宋体"/>
          <w:color w:val="000000"/>
          <w:kern w:val="0"/>
          <w:szCs w:val="21"/>
        </w:rPr>
        <w:t>甲方</w:t>
      </w:r>
      <w:r>
        <w:rPr>
          <w:rFonts w:ascii="宋体" w:hAnsi="宋体" w:cs="宋体"/>
          <w:color w:val="000000"/>
          <w:kern w:val="0"/>
          <w:szCs w:val="21"/>
        </w:rPr>
        <w:t>有权拒绝付款且不承担延迟履行的法律责任。</w:t>
      </w:r>
    </w:p>
    <w:p w14:paraId="364AD1C7">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3、发票</w:t>
      </w:r>
    </w:p>
    <w:p w14:paraId="2573D7CB">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3.1乙方属于以下第</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（1） </w:t>
      </w:r>
      <w:r>
        <w:rPr>
          <w:rFonts w:hint="eastAsia" w:ascii="宋体" w:hAnsi="宋体" w:cs="宋体"/>
          <w:color w:val="000000"/>
          <w:kern w:val="0"/>
          <w:szCs w:val="21"/>
          <w:u w:val="single"/>
        </w:rPr>
        <w:t xml:space="preserve">  </w:t>
      </w:r>
      <w:r>
        <w:rPr>
          <w:rFonts w:ascii="宋体" w:hAnsi="宋体" w:cs="宋体"/>
          <w:color w:val="000000"/>
          <w:kern w:val="0"/>
          <w:szCs w:val="21"/>
        </w:rPr>
        <w:t>种纳税人：</w:t>
      </w:r>
    </w:p>
    <w:p w14:paraId="03A122D7">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(1)一般纳税人    (2)小规模纳税人</w:t>
      </w:r>
    </w:p>
    <w:p w14:paraId="5F877A9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3.2乙方提供以下第</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（1） </w:t>
      </w:r>
      <w:r>
        <w:rPr>
          <w:rFonts w:ascii="宋体" w:hAnsi="宋体" w:cs="宋体"/>
          <w:color w:val="000000"/>
          <w:kern w:val="0"/>
          <w:szCs w:val="21"/>
          <w:u w:val="single"/>
        </w:rPr>
        <w:t xml:space="preserve">    </w:t>
      </w:r>
      <w:r>
        <w:rPr>
          <w:rFonts w:ascii="宋体" w:hAnsi="宋体" w:cs="宋体"/>
          <w:color w:val="000000"/>
          <w:kern w:val="0"/>
          <w:szCs w:val="21"/>
        </w:rPr>
        <w:t xml:space="preserve"> 种发票。</w:t>
      </w:r>
    </w:p>
    <w:p w14:paraId="751F8CFA">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(1)提供税率为</w:t>
      </w:r>
      <w:r>
        <w:rPr>
          <w:rFonts w:ascii="宋体" w:hAnsi="宋体" w:cs="宋体"/>
          <w:color w:val="000000"/>
          <w:kern w:val="0"/>
          <w:szCs w:val="21"/>
          <w:u w:val="single"/>
        </w:rPr>
        <w:t xml:space="preserve">    13   </w:t>
      </w:r>
      <w:r>
        <w:rPr>
          <w:rFonts w:ascii="宋体" w:hAnsi="宋体" w:cs="宋体"/>
          <w:color w:val="000000"/>
          <w:kern w:val="0"/>
          <w:szCs w:val="21"/>
        </w:rPr>
        <w:t>%的增值税专用发票；</w:t>
      </w:r>
    </w:p>
    <w:p w14:paraId="2D48AFB2">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(2)提供税率为</w:t>
      </w:r>
      <w:r>
        <w:rPr>
          <w:rFonts w:ascii="宋体" w:hAnsi="宋体" w:cs="宋体"/>
          <w:color w:val="000000"/>
          <w:kern w:val="0"/>
          <w:szCs w:val="21"/>
          <w:u w:val="single"/>
        </w:rPr>
        <w:t xml:space="preserve">      3   </w:t>
      </w:r>
      <w:r>
        <w:rPr>
          <w:rFonts w:ascii="宋体" w:hAnsi="宋体" w:cs="宋体"/>
          <w:color w:val="000000"/>
          <w:kern w:val="0"/>
          <w:szCs w:val="21"/>
        </w:rPr>
        <w:t xml:space="preserve"> %的增值税专用发票。</w:t>
      </w:r>
    </w:p>
    <w:p w14:paraId="5F93F166">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3.3乙方在向甲方申请付款前，应提供与甲方确认付款金额等额的合法、有效、完整、准确的增值税发票。若乙方提供的发票不符合要求的，甲方有权拒收增值税发票，并有权暂停支付相应款项，乙方不得以此为由中止履行合同的义务。如因乙方不能按期提供发票或提供的发票不符合要求而导致付款延期的，由其自行承担后果，甲方不承担任何责任。</w:t>
      </w:r>
    </w:p>
    <w:p w14:paraId="4076163F">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3.4若乙方未按上述约定向甲方开具足额增值税发票或因乙方原因导致提供的增值税发票甲方不能认证、抵扣的，乙方应按甲方要求采取补救措施，同时，甲方有权要求乙方支付本合同暂定总价的0.5%的违约金并承担甲方未能抵扣而产生的全部税费</w:t>
      </w:r>
      <w:r>
        <w:rPr>
          <w:rFonts w:hint="eastAsia" w:ascii="宋体" w:hAnsi="宋体" w:cs="宋体"/>
          <w:color w:val="000000"/>
          <w:kern w:val="0"/>
          <w:szCs w:val="21"/>
        </w:rPr>
        <w:t>（以票据载明税率或乙方开具发票的法定税率核定数额）</w:t>
      </w:r>
      <w:r>
        <w:rPr>
          <w:rFonts w:ascii="宋体" w:hAnsi="宋体" w:cs="宋体"/>
          <w:color w:val="000000"/>
          <w:kern w:val="0"/>
          <w:szCs w:val="21"/>
        </w:rPr>
        <w:t>。</w:t>
      </w:r>
    </w:p>
    <w:p w14:paraId="446EE577">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3.5如果甲方丢失增值税专用发票发票联和抵扣联，则乙方必须向甲方提供专用发票记账联复印件和乙方主管税务机关出具的《丢失增值税专用发票已报税证明单》。</w:t>
      </w:r>
    </w:p>
    <w:p w14:paraId="3E996C31">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3.6若乙方纳税人身份与合同约定不符或者计税方式发生变化，并导致甲方可抵扣的进项税额减少或被税务机关要求补缴税款的，则减少的进项税额或补缴的税款应由乙方承担，甲方有权从乙方</w:t>
      </w:r>
      <w:r>
        <w:rPr>
          <w:rFonts w:hint="eastAsia" w:ascii="宋体" w:hAnsi="宋体" w:cs="宋体"/>
          <w:color w:val="000000"/>
          <w:kern w:val="0"/>
          <w:szCs w:val="21"/>
        </w:rPr>
        <w:t>材料</w:t>
      </w:r>
      <w:r>
        <w:rPr>
          <w:rFonts w:ascii="宋体" w:hAnsi="宋体" w:cs="宋体"/>
          <w:color w:val="000000"/>
          <w:kern w:val="0"/>
          <w:szCs w:val="21"/>
        </w:rPr>
        <w:t>款中扣除。</w:t>
      </w:r>
    </w:p>
    <w:p w14:paraId="207E1742">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 xml:space="preserve">3.7若甲方从合同价款中扣除了违约金、损失赔偿额等款项的，乙方仍应按扣除前的合同金额开具增值税发票。 </w:t>
      </w:r>
    </w:p>
    <w:p w14:paraId="6A3DCB5A">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3.8增值税发票开票信息</w:t>
      </w:r>
    </w:p>
    <w:p w14:paraId="72AA0D63">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1)甲方增值税发票开票信息</w:t>
      </w:r>
    </w:p>
    <w:p w14:paraId="695AFDD2">
      <w:pPr>
        <w:widowControl/>
        <w:spacing w:line="540" w:lineRule="exact"/>
        <w:ind w:firstLine="420" w:firstLineChars="200"/>
        <w:jc w:val="left"/>
        <w:rPr>
          <w:rFonts w:hint="eastAsia" w:ascii="宋体" w:hAnsi="宋体" w:cs="宋体"/>
          <w:kern w:val="0"/>
          <w:szCs w:val="21"/>
        </w:rPr>
      </w:pPr>
      <w:r>
        <w:rPr>
          <w:rFonts w:hint="eastAsia" w:ascii="宋体" w:hAnsi="宋体" w:cs="宋体"/>
          <w:kern w:val="0"/>
          <w:szCs w:val="21"/>
        </w:rPr>
        <w:t>企业名称：</w:t>
      </w:r>
    </w:p>
    <w:p w14:paraId="25BE593D">
      <w:pPr>
        <w:widowControl/>
        <w:spacing w:line="540" w:lineRule="exact"/>
        <w:ind w:firstLine="420" w:firstLineChars="200"/>
        <w:jc w:val="left"/>
        <w:rPr>
          <w:rFonts w:hint="eastAsia" w:ascii="宋体" w:hAnsi="宋体" w:cs="宋体"/>
          <w:kern w:val="0"/>
          <w:szCs w:val="21"/>
        </w:rPr>
      </w:pPr>
      <w:r>
        <w:rPr>
          <w:rFonts w:hint="eastAsia" w:ascii="宋体" w:hAnsi="宋体" w:cs="宋体"/>
          <w:kern w:val="0"/>
          <w:szCs w:val="21"/>
        </w:rPr>
        <w:t>纳税人识别号：</w:t>
      </w:r>
    </w:p>
    <w:p w14:paraId="5B74EEE1">
      <w:pPr>
        <w:widowControl/>
        <w:spacing w:line="540" w:lineRule="exact"/>
        <w:ind w:firstLine="420" w:firstLineChars="200"/>
        <w:jc w:val="left"/>
        <w:rPr>
          <w:rFonts w:hint="eastAsia" w:ascii="宋体" w:hAnsi="宋体" w:cs="宋体"/>
          <w:kern w:val="0"/>
          <w:szCs w:val="21"/>
        </w:rPr>
      </w:pPr>
      <w:r>
        <w:rPr>
          <w:rFonts w:hint="eastAsia" w:ascii="宋体" w:hAnsi="宋体" w:cs="宋体"/>
          <w:kern w:val="0"/>
          <w:szCs w:val="21"/>
        </w:rPr>
        <w:t>银行账户：</w:t>
      </w:r>
    </w:p>
    <w:p w14:paraId="2961099B">
      <w:pPr>
        <w:widowControl/>
        <w:spacing w:line="540" w:lineRule="exact"/>
        <w:ind w:firstLine="420" w:firstLineChars="200"/>
        <w:jc w:val="left"/>
        <w:rPr>
          <w:rFonts w:hint="eastAsia" w:ascii="宋体" w:hAnsi="宋体" w:cs="宋体"/>
          <w:kern w:val="0"/>
          <w:szCs w:val="21"/>
        </w:rPr>
      </w:pPr>
      <w:r>
        <w:rPr>
          <w:rFonts w:hint="eastAsia" w:ascii="宋体" w:hAnsi="宋体" w:cs="宋体"/>
          <w:kern w:val="0"/>
          <w:szCs w:val="21"/>
        </w:rPr>
        <w:t>开户银行：</w:t>
      </w:r>
    </w:p>
    <w:p w14:paraId="45578BF8">
      <w:pPr>
        <w:widowControl/>
        <w:spacing w:line="540" w:lineRule="exact"/>
        <w:ind w:firstLine="420" w:firstLineChars="200"/>
        <w:jc w:val="left"/>
        <w:rPr>
          <w:rFonts w:hint="eastAsia" w:ascii="宋体" w:hAnsi="宋体" w:cs="宋体"/>
          <w:kern w:val="0"/>
          <w:szCs w:val="21"/>
        </w:rPr>
      </w:pPr>
      <w:r>
        <w:rPr>
          <w:rFonts w:hint="eastAsia" w:ascii="宋体" w:hAnsi="宋体" w:cs="宋体"/>
          <w:kern w:val="0"/>
          <w:szCs w:val="21"/>
        </w:rPr>
        <w:t>地址：</w:t>
      </w:r>
    </w:p>
    <w:p w14:paraId="0A588F42">
      <w:pPr>
        <w:widowControl/>
        <w:spacing w:line="540" w:lineRule="exact"/>
        <w:ind w:firstLine="420" w:firstLineChars="200"/>
        <w:jc w:val="left"/>
        <w:rPr>
          <w:rFonts w:hint="eastAsia" w:ascii="宋体" w:hAnsi="宋体" w:cs="宋体"/>
          <w:kern w:val="0"/>
          <w:szCs w:val="21"/>
        </w:rPr>
      </w:pPr>
      <w:r>
        <w:rPr>
          <w:rFonts w:hint="eastAsia" w:ascii="宋体" w:hAnsi="宋体" w:cs="宋体"/>
          <w:kern w:val="0"/>
          <w:szCs w:val="21"/>
        </w:rPr>
        <w:t>电话：</w:t>
      </w:r>
    </w:p>
    <w:p w14:paraId="073A3405">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2)乙方增值税发票开票信息</w:t>
      </w:r>
    </w:p>
    <w:p w14:paraId="7601C2A2">
      <w:pPr>
        <w:widowControl/>
        <w:spacing w:line="540" w:lineRule="exact"/>
        <w:ind w:firstLine="420" w:firstLineChars="200"/>
        <w:jc w:val="lef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企业名称：</w:t>
      </w:r>
    </w:p>
    <w:p w14:paraId="15D87F46">
      <w:pPr>
        <w:widowControl/>
        <w:spacing w:line="540" w:lineRule="exact"/>
        <w:ind w:firstLine="420" w:firstLineChars="200"/>
        <w:jc w:val="lef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纳税人识别号：</w:t>
      </w:r>
    </w:p>
    <w:p w14:paraId="03DC37ED">
      <w:pPr>
        <w:widowControl/>
        <w:spacing w:line="540" w:lineRule="exact"/>
        <w:ind w:firstLine="420" w:firstLineChars="200"/>
        <w:jc w:val="lef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银行账户：</w:t>
      </w:r>
    </w:p>
    <w:p w14:paraId="383DDB71">
      <w:pPr>
        <w:widowControl/>
        <w:spacing w:line="540" w:lineRule="exact"/>
        <w:ind w:firstLine="420" w:firstLineChars="200"/>
        <w:jc w:val="lef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开户银行：</w:t>
      </w:r>
    </w:p>
    <w:p w14:paraId="06EECC99">
      <w:pPr>
        <w:widowControl/>
        <w:spacing w:line="540" w:lineRule="exact"/>
        <w:ind w:firstLine="420" w:firstLineChars="200"/>
        <w:jc w:val="lef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地址：</w:t>
      </w:r>
    </w:p>
    <w:p w14:paraId="582959A6">
      <w:pPr>
        <w:widowControl/>
        <w:spacing w:line="540" w:lineRule="exact"/>
        <w:ind w:firstLine="420" w:firstLineChars="200"/>
        <w:jc w:val="lef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电话：</w:t>
      </w:r>
    </w:p>
    <w:p w14:paraId="283A1D84">
      <w:pPr>
        <w:kinsoku w:val="0"/>
        <w:adjustRightInd w:val="0"/>
        <w:snapToGrid w:val="0"/>
        <w:spacing w:before="20" w:line="540" w:lineRule="exact"/>
        <w:ind w:left="506"/>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15"/>
          <w:kern w:val="0"/>
          <w:sz w:val="25"/>
          <w:szCs w:val="25"/>
        </w:rPr>
        <w:t>六、物资验收</w:t>
      </w:r>
    </w:p>
    <w:p w14:paraId="2551C7D6">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1、甲方有权利对进场的物资进行各种形式的</w:t>
      </w:r>
      <w:r>
        <w:rPr>
          <w:rFonts w:hint="eastAsia" w:ascii="宋体" w:hAnsi="宋体" w:cs="宋体"/>
          <w:color w:val="000000"/>
          <w:kern w:val="0"/>
          <w:szCs w:val="21"/>
        </w:rPr>
        <w:t>随机</w:t>
      </w:r>
      <w:r>
        <w:rPr>
          <w:rFonts w:ascii="宋体" w:hAnsi="宋体" w:cs="宋体"/>
          <w:color w:val="000000"/>
          <w:kern w:val="0"/>
          <w:szCs w:val="21"/>
        </w:rPr>
        <w:t>检验，乙方必须充分配合，且检验结果直接作为判定乙方交付产品质量的依据。检验费由乙方垫付，如检验不合格，检验费用由乙方承担；如检验合格，检验费用由甲方承担。</w:t>
      </w:r>
    </w:p>
    <w:p w14:paraId="14221362">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2、乙方必须在交货前对材料的品质、规格等作细致的检验，材料到工地现场卸车后，如发现其技术规格、性能与合同或甲方发出的供货单上的规格不符，质量低劣及受损坏等情况，应按以下情况分别处理：</w:t>
      </w:r>
    </w:p>
    <w:p w14:paraId="6776A99D">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(1)材料的规格、质量等级与要求不符，甲方可拒绝接收，由乙方自费运 出施工现场并重新采购供货，乙方承担重新采购供货的经济支出及对因此造成的 甲方及工程损失负责赔偿。</w:t>
      </w:r>
    </w:p>
    <w:p w14:paraId="1F4AD306">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(2)因时间晚于甲方通知乙方的计划进货日期的，乙方须承担因此造成的甲方延误工期损失及其他因此可能发生的损失。</w:t>
      </w:r>
    </w:p>
    <w:p w14:paraId="34A430F8">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3、乙方负责提供给甲方所需物资的质量保证书、合格证，并由甲方指定负责验收人在送货单上签字作为收货依据。</w:t>
      </w:r>
    </w:p>
    <w:p w14:paraId="273A66E9">
      <w:pPr>
        <w:kinsoku w:val="0"/>
        <w:adjustRightInd w:val="0"/>
        <w:snapToGrid w:val="0"/>
        <w:spacing w:before="76" w:line="540" w:lineRule="exact"/>
        <w:ind w:left="556"/>
        <w:textAlignment w:val="baseline"/>
        <w:outlineLvl w:val="0"/>
        <w:rPr>
          <w:rFonts w:hint="eastAsia" w:ascii="仿宋" w:hAnsi="仿宋" w:eastAsia="仿宋" w:cs="仿宋"/>
          <w:b/>
          <w:bCs/>
          <w:snapToGrid w:val="0"/>
          <w:color w:val="000000"/>
          <w:spacing w:val="-6"/>
          <w:kern w:val="0"/>
          <w:sz w:val="24"/>
          <w:lang w:val="en-US" w:eastAsia="zh-CN"/>
        </w:rPr>
      </w:pPr>
      <w:r>
        <w:rPr>
          <w:rFonts w:hint="eastAsia" w:ascii="仿宋" w:hAnsi="仿宋" w:eastAsia="仿宋" w:cs="仿宋"/>
          <w:b/>
          <w:bCs/>
          <w:snapToGrid w:val="0"/>
          <w:color w:val="000000"/>
          <w:spacing w:val="-6"/>
          <w:kern w:val="0"/>
          <w:sz w:val="24"/>
          <w:lang w:val="en-US" w:eastAsia="zh-CN"/>
        </w:rPr>
        <w:t>七、安全责任</w:t>
      </w:r>
    </w:p>
    <w:p w14:paraId="69123304">
      <w:pPr>
        <w:widowControl/>
        <w:spacing w:line="540" w:lineRule="exact"/>
        <w:ind w:firstLine="420" w:firstLineChars="200"/>
        <w:jc w:val="left"/>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乙方运输、卸货等供货全过程中，应严格遵守国家及地方关于道路运输、施工现场管理等相关法律法规及规章制度，建立健全安全管理制度，配备必要的安全防护设施和人员，确保作业安全。因乙方原因导致发生安全事故（包括但不限于人员伤亡、财产损失等），由乙方承担全部责任及相应费用，并赔偿因此给甲方造成的全部损失。</w:t>
      </w:r>
    </w:p>
    <w:p w14:paraId="0286B255">
      <w:pPr>
        <w:kinsoku w:val="0"/>
        <w:adjustRightInd w:val="0"/>
        <w:snapToGrid w:val="0"/>
        <w:spacing w:before="76" w:line="540" w:lineRule="exact"/>
        <w:ind w:left="556"/>
        <w:textAlignment w:val="baseline"/>
        <w:outlineLvl w:val="0"/>
        <w:rPr>
          <w:rFonts w:ascii="仿宋" w:hAnsi="仿宋" w:eastAsia="仿宋" w:cs="仿宋"/>
          <w:snapToGrid w:val="0"/>
          <w:color w:val="000000"/>
          <w:kern w:val="0"/>
          <w:sz w:val="24"/>
        </w:rPr>
      </w:pPr>
      <w:r>
        <w:rPr>
          <w:rFonts w:hint="eastAsia" w:ascii="仿宋" w:hAnsi="仿宋" w:eastAsia="仿宋" w:cs="仿宋"/>
          <w:b/>
          <w:bCs/>
          <w:snapToGrid w:val="0"/>
          <w:color w:val="000000"/>
          <w:spacing w:val="-6"/>
          <w:kern w:val="0"/>
          <w:sz w:val="24"/>
          <w:lang w:val="en-US" w:eastAsia="zh-CN"/>
        </w:rPr>
        <w:t>八</w:t>
      </w:r>
      <w:r>
        <w:rPr>
          <w:rFonts w:ascii="仿宋" w:hAnsi="仿宋" w:eastAsia="仿宋" w:cs="仿宋"/>
          <w:b/>
          <w:bCs/>
          <w:snapToGrid w:val="0"/>
          <w:color w:val="000000"/>
          <w:spacing w:val="-6"/>
          <w:kern w:val="0"/>
          <w:sz w:val="24"/>
        </w:rPr>
        <w:t>、违约责任</w:t>
      </w:r>
    </w:p>
    <w:p w14:paraId="250A1391">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本合同履行过程中，乙方无正当理由不能按照合同规定或进度计划的要求按时交货，应在相关情况发生后4小时内以传真、电报、电传等书面形式将拖延的事实、原因以及可能拖延的期限和理由通知甲方。甲方在收到乙方通知后，有权视具体情况决定采取如下方式之一进行处理：</w:t>
      </w:r>
    </w:p>
    <w:p w14:paraId="5D16E3D6">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(1)有甲方书面确认的变更、修改合同内容的，按照甲方书面确认相应延长交货时间；</w:t>
      </w:r>
    </w:p>
    <w:p w14:paraId="33A5D1C5">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(2)解除或部分解除合同，另行采购相关货物。</w:t>
      </w:r>
    </w:p>
    <w:p w14:paraId="3F601244">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无论采取何种方式，除本合同约定的不可抗力外，乙方均应承担相应的误期违约责任，并赔偿由此给甲方造成的一切损失。误期违约金比率为：每迟交1日，按合同总金额的1%计算；误期违约金最高不超过合同总金额的10%。</w:t>
      </w:r>
    </w:p>
    <w:p w14:paraId="2CC36AAA">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在甲方另行采购部分或全部货物的情况下，乙方承担由此造成的价格差额，该差额为以下费用之较高者：</w:t>
      </w:r>
    </w:p>
    <w:p w14:paraId="23DADC0B">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(1)当前市场价与相应合同价格之间的差额；</w:t>
      </w:r>
    </w:p>
    <w:p w14:paraId="6907D961">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(2)甲方在接受货物时发生的实际费用与本合同价格之间的差额。</w:t>
      </w:r>
    </w:p>
    <w:p w14:paraId="18377C27">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误期违约金从甲方应向乙方支付的合同价款中扣除，不足部分另行追偿。</w:t>
      </w:r>
    </w:p>
    <w:p w14:paraId="3BA6F442">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2、甲方不按时支付货款，将按照拖延支付货款期间的1年期贷款市场报价利率向乙方承担违约责任。</w:t>
      </w:r>
    </w:p>
    <w:p w14:paraId="506CAEA5">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3、合同签订后，乙方不能履约或不能全部履约，甲方有权解除合同，并赔偿因此而造成甲方的一切损失。</w:t>
      </w:r>
    </w:p>
    <w:p w14:paraId="398E737D">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4、乙方所交物资的品种、型号、规格不符合合同规定或者甲方另行发给乙方通知的，如果甲方同意利用，双方协商书面定价；如果甲方不能利用或者不同意利用或者双方对于价格不能协商一致的，乙方应负责按甲方要求的时间予以退换，并承担由此造成甲方费用增加、工期延误等损失；如不能予以退换的，按不能交货处理。</w:t>
      </w:r>
    </w:p>
    <w:p w14:paraId="1E1BE1F8">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5、对于因乙方运输方式不合理造成货物到达指定地点之后货物的损失或丢失，乙方应承担全部责任。</w:t>
      </w:r>
    </w:p>
    <w:p w14:paraId="7AC05314">
      <w:pPr>
        <w:widowControl/>
        <w:tabs>
          <w:tab w:val="left" w:pos="2747"/>
        </w:tabs>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6、因乙方输送车辆给甲方造成的工期延误、人员窝工、设备、周转料具停置等损失。</w:t>
      </w:r>
    </w:p>
    <w:p w14:paraId="3D03DE7D">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7、乙方对甲方造成的经济损失，甲方有权从乙方的余款中扣除，余款不足抵补损失时，应由乙方补齐差额部分。</w:t>
      </w:r>
    </w:p>
    <w:p w14:paraId="16A3581A">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8、乙方因物资包装不符合合同规定，必须返修或重新包装的，乙方应负责返修或重新包装，并承担支出的费用。甲方不要求返修或重新包装而要求赔偿损失的，乙方应当偿付甲方该不合格包装物低于合格包装物的价值部分。因包装不符合规定造成货物损坏或灭失的，乙方应当负责赔偿。</w:t>
      </w:r>
    </w:p>
    <w:p w14:paraId="4EDE9983">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9、乙方装卸、运输过程中的一切人员、机械、车辆安全，均全部由乙方承担，乙方应按国家及地方规定办理相关手续及各类保险、责任自负。</w:t>
      </w:r>
    </w:p>
    <w:p w14:paraId="7A158578">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10、乙方装卸、运输中应做相应的环保措施(符合国家环保要求),因环保造成的一切罚款由乙方自行承担。</w:t>
      </w:r>
    </w:p>
    <w:p w14:paraId="51239295">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11、乙方应保证其对货物具有所有权或受委托代理销售权，并向甲方出具相关凭证。乙方亦保证交付的货物不附有任何担保权或其他留置权。如第三方向甲方主张任何权利，乙方负责与第三方交涉并承担由此引起的一切法律责任和费用及赔偿甲方的一切损失。</w:t>
      </w:r>
    </w:p>
    <w:p w14:paraId="721CA0EB">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12、因乙方原因导致法院、仲裁委、公安局等政府部门向甲方出具协助执行通知书等法律文书或因乙方对外发生诉讼或仲裁案件，而对本项目产生影响的，甲方有权解除合同，并且乙方应立即退场，否则乙方需向甲方承担合同额的5%的违约金。</w:t>
      </w:r>
    </w:p>
    <w:p w14:paraId="21E9A0CB">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13、乙方存在任何违约行为，除按照前述约定承担违约责任外，还应赔偿甲方全部损失，甲方损失包括但不限于甲方为主张权利产生的诉讼费、保全费、保全保险费、律师费、差旅费等全部费用。</w:t>
      </w:r>
    </w:p>
    <w:p w14:paraId="3BEF7E3F">
      <w:pPr>
        <w:widowControl/>
        <w:spacing w:line="540" w:lineRule="exact"/>
        <w:ind w:firstLine="420" w:firstLineChars="200"/>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14.若乙方未按约定供货（包括数量、质量、时间等不符合要求），或因乙方原因导致采购人扣减款项、索赔的，乙方应承担全部损失，甲方有权从应付货款中直接抵扣，并因此赔偿给甲方及相关单位造成的所有损失。</w:t>
      </w:r>
      <w:bookmarkStart w:id="0" w:name="_GoBack"/>
      <w:bookmarkEnd w:id="0"/>
    </w:p>
    <w:p w14:paraId="0FC4325A">
      <w:pPr>
        <w:kinsoku w:val="0"/>
        <w:adjustRightInd w:val="0"/>
        <w:snapToGrid w:val="0"/>
        <w:spacing w:before="60" w:line="540" w:lineRule="exact"/>
        <w:ind w:left="497"/>
        <w:textAlignment w:val="baseline"/>
        <w:outlineLvl w:val="0"/>
        <w:rPr>
          <w:rFonts w:ascii="仿宋" w:hAnsi="仿宋" w:eastAsia="仿宋" w:cs="仿宋"/>
          <w:snapToGrid w:val="0"/>
          <w:color w:val="000000"/>
          <w:kern w:val="0"/>
          <w:sz w:val="25"/>
          <w:szCs w:val="25"/>
        </w:rPr>
      </w:pPr>
      <w:r>
        <w:rPr>
          <w:rFonts w:hint="eastAsia" w:ascii="仿宋" w:hAnsi="仿宋" w:eastAsia="仿宋" w:cs="仿宋"/>
          <w:b/>
          <w:bCs/>
          <w:snapToGrid w:val="0"/>
          <w:color w:val="000000"/>
          <w:spacing w:val="-12"/>
          <w:kern w:val="0"/>
          <w:sz w:val="25"/>
          <w:szCs w:val="25"/>
          <w:lang w:val="en-US" w:eastAsia="zh-CN"/>
        </w:rPr>
        <w:t>九</w:t>
      </w:r>
      <w:r>
        <w:rPr>
          <w:rFonts w:ascii="仿宋" w:hAnsi="仿宋" w:eastAsia="仿宋" w:cs="仿宋"/>
          <w:b/>
          <w:bCs/>
          <w:snapToGrid w:val="0"/>
          <w:color w:val="000000"/>
          <w:spacing w:val="-12"/>
          <w:kern w:val="0"/>
          <w:sz w:val="25"/>
          <w:szCs w:val="25"/>
        </w:rPr>
        <w:t>、不可抗力</w:t>
      </w:r>
    </w:p>
    <w:p w14:paraId="16D9CA8C">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不可抗力事故系指供货双方在缔结合同时所不能预见的，并且对其发生及后果无法避免和无法克服的事件。签约双方任一方由于受到诸如战争、严重火灾、洪水、台风、地震、严重传染性疾病等不可抗力事件的影响而不能执行合同时，履行合同的期限应予以延长，则延长的期限应相当于事件所影响的时间。</w:t>
      </w:r>
    </w:p>
    <w:p w14:paraId="62A3E268">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受阻一方应在不可抗力事件发生后尽快用电报、传真或电传等书面形式通知对方，并于事故发生后14日内将有关当局出具的证明文件用特快专递或挂号信寄给对方审阅确认；同时，受阻方应尽可能继续履行合同义务，以及寻求采取合理的方案履行不受不可抗力影响的其他事项。一旦不可抗力事故的影响可能导致工期延误或持续</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30</w:t>
      </w:r>
      <w:r>
        <w:rPr>
          <w:rFonts w:ascii="宋体" w:hAnsi="宋体" w:cs="宋体"/>
          <w:color w:val="000000"/>
          <w:kern w:val="0"/>
          <w:szCs w:val="21"/>
          <w:u w:val="single"/>
        </w:rPr>
        <w:t xml:space="preserve">   </w:t>
      </w:r>
      <w:r>
        <w:rPr>
          <w:rFonts w:ascii="宋体" w:hAnsi="宋体" w:cs="宋体"/>
          <w:color w:val="000000"/>
          <w:kern w:val="0"/>
          <w:szCs w:val="21"/>
        </w:rPr>
        <w:t>日以上时，双方可通过友好协商在合理的时间内达成终止合同或进一步履行合同的协议。</w:t>
      </w:r>
    </w:p>
    <w:p w14:paraId="040255A5">
      <w:pPr>
        <w:widowControl/>
        <w:spacing w:line="540" w:lineRule="exact"/>
        <w:ind w:firstLine="420" w:firstLineChars="200"/>
        <w:jc w:val="left"/>
        <w:rPr>
          <w:rFonts w:ascii="宋体" w:hAnsi="宋体" w:cs="宋体"/>
          <w:color w:val="000000"/>
          <w:kern w:val="0"/>
          <w:szCs w:val="21"/>
        </w:rPr>
      </w:pPr>
    </w:p>
    <w:p w14:paraId="1550E68A">
      <w:pPr>
        <w:kinsoku w:val="0"/>
        <w:adjustRightInd w:val="0"/>
        <w:snapToGrid w:val="0"/>
        <w:spacing w:before="60" w:line="540" w:lineRule="exact"/>
        <w:ind w:left="497"/>
        <w:textAlignment w:val="baseline"/>
        <w:outlineLvl w:val="0"/>
        <w:rPr>
          <w:rFonts w:ascii="仿宋" w:hAnsi="仿宋" w:eastAsia="仿宋" w:cs="仿宋"/>
          <w:snapToGrid w:val="0"/>
          <w:color w:val="000000"/>
          <w:kern w:val="0"/>
          <w:sz w:val="25"/>
          <w:szCs w:val="25"/>
        </w:rPr>
      </w:pPr>
      <w:r>
        <w:rPr>
          <w:rFonts w:hint="eastAsia" w:ascii="仿宋" w:hAnsi="仿宋" w:eastAsia="仿宋" w:cs="仿宋"/>
          <w:b/>
          <w:bCs/>
          <w:snapToGrid w:val="0"/>
          <w:color w:val="000000"/>
          <w:spacing w:val="-18"/>
          <w:kern w:val="0"/>
          <w:sz w:val="25"/>
          <w:szCs w:val="25"/>
          <w:lang w:val="en-US" w:eastAsia="zh-CN"/>
        </w:rPr>
        <w:t>十</w:t>
      </w:r>
      <w:r>
        <w:rPr>
          <w:rFonts w:hint="eastAsia" w:ascii="仿宋" w:hAnsi="仿宋" w:eastAsia="仿宋" w:cs="仿宋"/>
          <w:b/>
          <w:bCs/>
          <w:snapToGrid w:val="0"/>
          <w:color w:val="000000"/>
          <w:spacing w:val="-18"/>
          <w:kern w:val="0"/>
          <w:sz w:val="25"/>
          <w:szCs w:val="25"/>
        </w:rPr>
        <w:t>、</w:t>
      </w:r>
      <w:r>
        <w:rPr>
          <w:rFonts w:ascii="仿宋" w:hAnsi="仿宋" w:eastAsia="仿宋" w:cs="仿宋"/>
          <w:b/>
          <w:bCs/>
          <w:snapToGrid w:val="0"/>
          <w:color w:val="000000"/>
          <w:spacing w:val="-18"/>
          <w:kern w:val="0"/>
          <w:sz w:val="25"/>
          <w:szCs w:val="25"/>
        </w:rPr>
        <w:t>争议解决</w:t>
      </w:r>
    </w:p>
    <w:p w14:paraId="6B0708EE">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发生争议后，双方首先协商解决，协商不成时，提交</w:t>
      </w:r>
      <w:r>
        <w:rPr>
          <w:rFonts w:hint="eastAsia" w:ascii="宋体" w:hAnsi="宋体" w:cs="宋体"/>
          <w:color w:val="000000"/>
          <w:kern w:val="0"/>
          <w:szCs w:val="21"/>
        </w:rPr>
        <w:t>广汉市人</w:t>
      </w:r>
      <w:r>
        <w:rPr>
          <w:rFonts w:ascii="宋体" w:hAnsi="宋体" w:cs="宋体"/>
          <w:color w:val="000000"/>
          <w:kern w:val="0"/>
          <w:szCs w:val="21"/>
        </w:rPr>
        <w:t>民法院解决。本合同关于争议的解决方式的约定具有最终效力，双方以后发生的补充合同、会议纪要、往来函件、发料单、结算单等涉及到争议解决方式的，均不得对抗此约定。</w:t>
      </w:r>
    </w:p>
    <w:p w14:paraId="41DD170B">
      <w:pPr>
        <w:kinsoku w:val="0"/>
        <w:adjustRightInd w:val="0"/>
        <w:snapToGrid w:val="0"/>
        <w:spacing w:before="53" w:line="540" w:lineRule="exact"/>
        <w:ind w:left="547"/>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26"/>
          <w:kern w:val="0"/>
          <w:sz w:val="25"/>
          <w:szCs w:val="25"/>
        </w:rPr>
        <w:t>十</w:t>
      </w:r>
      <w:r>
        <w:rPr>
          <w:rFonts w:ascii="仿宋" w:hAnsi="仿宋" w:eastAsia="仿宋" w:cs="仿宋"/>
          <w:snapToGrid w:val="0"/>
          <w:color w:val="000000"/>
          <w:spacing w:val="-26"/>
          <w:kern w:val="0"/>
          <w:sz w:val="25"/>
          <w:szCs w:val="25"/>
        </w:rPr>
        <w:t xml:space="preserve"> </w:t>
      </w:r>
      <w:r>
        <w:rPr>
          <w:rFonts w:hint="eastAsia" w:ascii="仿宋" w:hAnsi="仿宋" w:eastAsia="仿宋" w:cs="仿宋"/>
          <w:snapToGrid w:val="0"/>
          <w:color w:val="000000"/>
          <w:spacing w:val="-26"/>
          <w:kern w:val="0"/>
          <w:sz w:val="25"/>
          <w:szCs w:val="25"/>
          <w:lang w:val="en-US" w:eastAsia="zh-CN"/>
        </w:rPr>
        <w:t>一</w:t>
      </w:r>
      <w:r>
        <w:rPr>
          <w:rFonts w:ascii="仿宋" w:hAnsi="仿宋" w:eastAsia="仿宋" w:cs="仿宋"/>
          <w:b/>
          <w:bCs/>
          <w:snapToGrid w:val="0"/>
          <w:color w:val="000000"/>
          <w:spacing w:val="-26"/>
          <w:kern w:val="0"/>
          <w:sz w:val="25"/>
          <w:szCs w:val="25"/>
        </w:rPr>
        <w:t>、合同效力及份数</w:t>
      </w:r>
    </w:p>
    <w:p w14:paraId="509E4540">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1、本合同在双方盖章后生效。</w:t>
      </w:r>
    </w:p>
    <w:p w14:paraId="3777F477">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2、本合同印刷字体内容若有修改变动(包括但不限于删除、增添、涂改等), 必须经双方在修改处同时盖章确认方可生效，否则仍以原印刷字体内容为准。</w:t>
      </w:r>
    </w:p>
    <w:p w14:paraId="01FE607C">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3、本合同一式</w:t>
      </w:r>
      <w:r>
        <w:rPr>
          <w:rFonts w:ascii="宋体" w:hAnsi="宋体" w:cs="宋体"/>
          <w:color w:val="000000"/>
          <w:kern w:val="0"/>
          <w:szCs w:val="21"/>
          <w:u w:val="single"/>
        </w:rPr>
        <w:t>陆</w:t>
      </w:r>
      <w:r>
        <w:rPr>
          <w:rFonts w:ascii="宋体" w:hAnsi="宋体" w:cs="宋体"/>
          <w:color w:val="000000"/>
          <w:kern w:val="0"/>
          <w:szCs w:val="21"/>
        </w:rPr>
        <w:t>份，具有同等法律效力，甲方执</w:t>
      </w:r>
      <w:r>
        <w:rPr>
          <w:rFonts w:ascii="宋体" w:hAnsi="宋体" w:cs="宋体"/>
          <w:color w:val="000000"/>
          <w:kern w:val="0"/>
          <w:szCs w:val="21"/>
          <w:u w:val="single"/>
        </w:rPr>
        <w:t>肆</w:t>
      </w:r>
      <w:r>
        <w:rPr>
          <w:rFonts w:ascii="宋体" w:hAnsi="宋体" w:cs="宋体"/>
          <w:color w:val="000000"/>
          <w:kern w:val="0"/>
          <w:szCs w:val="21"/>
        </w:rPr>
        <w:t>份，乙方</w:t>
      </w:r>
      <w:r>
        <w:rPr>
          <w:rFonts w:ascii="宋体" w:hAnsi="宋体" w:cs="宋体"/>
          <w:color w:val="000000"/>
          <w:kern w:val="0"/>
          <w:szCs w:val="21"/>
          <w:u w:val="single"/>
        </w:rPr>
        <w:t>贰</w:t>
      </w:r>
      <w:r>
        <w:rPr>
          <w:rFonts w:ascii="宋体" w:hAnsi="宋体" w:cs="宋体"/>
          <w:color w:val="000000"/>
          <w:kern w:val="0"/>
          <w:szCs w:val="21"/>
        </w:rPr>
        <w:t>份。</w:t>
      </w:r>
    </w:p>
    <w:p w14:paraId="32CAFA6D">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4、本合同未尽事宜，由甲乙双方另行协商。</w:t>
      </w:r>
    </w:p>
    <w:p w14:paraId="0B74AE3D">
      <w:pPr>
        <w:kinsoku w:val="0"/>
        <w:adjustRightInd w:val="0"/>
        <w:snapToGrid w:val="0"/>
        <w:spacing w:before="58" w:line="540" w:lineRule="exact"/>
        <w:ind w:left="547"/>
        <w:textAlignment w:val="baseline"/>
        <w:outlineLvl w:val="0"/>
        <w:rPr>
          <w:rFonts w:ascii="仿宋" w:hAnsi="仿宋" w:eastAsia="仿宋" w:cs="仿宋"/>
          <w:snapToGrid w:val="0"/>
          <w:color w:val="000000"/>
          <w:kern w:val="0"/>
          <w:sz w:val="25"/>
          <w:szCs w:val="25"/>
        </w:rPr>
      </w:pPr>
      <w:r>
        <w:rPr>
          <w:rFonts w:hint="eastAsia" w:ascii="仿宋" w:hAnsi="仿宋" w:eastAsia="仿宋" w:cs="仿宋"/>
          <w:b/>
          <w:bCs/>
          <w:snapToGrid w:val="0"/>
          <w:color w:val="000000"/>
          <w:spacing w:val="-26"/>
          <w:kern w:val="0"/>
          <w:sz w:val="25"/>
          <w:szCs w:val="25"/>
        </w:rPr>
        <w:t>十</w:t>
      </w:r>
      <w:r>
        <w:rPr>
          <w:rFonts w:hint="eastAsia" w:ascii="仿宋" w:hAnsi="仿宋" w:eastAsia="仿宋" w:cs="仿宋"/>
          <w:snapToGrid w:val="0"/>
          <w:color w:val="000000"/>
          <w:spacing w:val="-26"/>
          <w:kern w:val="0"/>
          <w:sz w:val="25"/>
          <w:szCs w:val="25"/>
        </w:rPr>
        <w:t xml:space="preserve"> </w:t>
      </w:r>
      <w:r>
        <w:rPr>
          <w:rFonts w:hint="eastAsia" w:ascii="仿宋" w:hAnsi="仿宋" w:eastAsia="仿宋" w:cs="仿宋"/>
          <w:snapToGrid w:val="0"/>
          <w:color w:val="000000"/>
          <w:spacing w:val="-26"/>
          <w:kern w:val="0"/>
          <w:sz w:val="25"/>
          <w:szCs w:val="25"/>
          <w:lang w:val="en-US" w:eastAsia="zh-CN"/>
        </w:rPr>
        <w:t>二</w:t>
      </w:r>
      <w:r>
        <w:rPr>
          <w:rFonts w:ascii="仿宋" w:hAnsi="仿宋" w:eastAsia="仿宋" w:cs="仿宋"/>
          <w:b/>
          <w:bCs/>
          <w:snapToGrid w:val="0"/>
          <w:color w:val="000000"/>
          <w:spacing w:val="-15"/>
          <w:kern w:val="0"/>
          <w:sz w:val="25"/>
          <w:szCs w:val="25"/>
        </w:rPr>
        <w:t>、其他约定</w:t>
      </w:r>
    </w:p>
    <w:p w14:paraId="6D2BB5C4">
      <w:pPr>
        <w:widowControl/>
        <w:spacing w:line="540" w:lineRule="exact"/>
        <w:ind w:firstLine="420" w:firstLineChars="200"/>
        <w:jc w:val="left"/>
        <w:rPr>
          <w:rFonts w:ascii="宋体" w:hAnsi="宋体" w:cs="宋体"/>
          <w:color w:val="000000"/>
          <w:kern w:val="0"/>
          <w:sz w:val="25"/>
          <w:szCs w:val="21"/>
        </w:rPr>
      </w:pPr>
      <w:r>
        <w:rPr>
          <w:rFonts w:ascii="宋体" w:hAnsi="宋体" w:cs="宋体"/>
          <w:color w:val="000000"/>
          <w:kern w:val="0"/>
          <w:szCs w:val="21"/>
        </w:rPr>
        <w:t>合同权利或义务的转移需经相对方书面同意，否则该转让行为对相对方不发生法律效力。</w:t>
      </w:r>
    </w:p>
    <w:p w14:paraId="786FD054">
      <w:pPr>
        <w:widowControl/>
        <w:jc w:val="left"/>
      </w:pPr>
    </w:p>
    <w:p w14:paraId="74AB7E9C">
      <w:pPr>
        <w:widowControl/>
        <w:jc w:val="left"/>
      </w:pPr>
    </w:p>
    <w:p w14:paraId="2363FA8A">
      <w:pPr>
        <w:jc w:val="left"/>
      </w:pPr>
      <w:r>
        <w:rPr>
          <w:rFonts w:hint="eastAsia"/>
        </w:rPr>
        <w:t>(以下无正文)</w:t>
      </w:r>
    </w:p>
    <w:p w14:paraId="2989E0B3">
      <w:pPr>
        <w:jc w:val="left"/>
      </w:pPr>
    </w:p>
    <w:p w14:paraId="68182EF4">
      <w:pPr>
        <w:jc w:val="left"/>
      </w:pPr>
    </w:p>
    <w:p w14:paraId="4F53DA12">
      <w:pPr>
        <w:jc w:val="left"/>
      </w:pPr>
      <w:r>
        <w:t>甲方：(盖章)</w:t>
      </w:r>
      <w:r>
        <w:rPr>
          <w:rFonts w:hint="eastAsia"/>
        </w:rPr>
        <w:t xml:space="preserve">                            </w:t>
      </w:r>
      <w:r>
        <w:t>乙  方：(盖章)</w:t>
      </w:r>
    </w:p>
    <w:p w14:paraId="12B179C0"/>
    <w:p w14:paraId="4707FC90">
      <w:pPr>
        <w:pStyle w:val="2"/>
      </w:pPr>
    </w:p>
    <w:p w14:paraId="2CF43B6B">
      <w:pPr>
        <w:jc w:val="left"/>
      </w:pPr>
      <w:r>
        <w:t>法定代表人：</w:t>
      </w:r>
      <w:r>
        <w:rPr>
          <w:rFonts w:hint="eastAsia"/>
        </w:rPr>
        <w:t xml:space="preserve">                            </w:t>
      </w:r>
      <w:r>
        <w:t>法定代表人：</w:t>
      </w:r>
      <w:r>
        <w:rPr>
          <w:rFonts w:hint="eastAsia"/>
        </w:rPr>
        <w:t xml:space="preserve">                            </w:t>
      </w:r>
    </w:p>
    <w:p w14:paraId="003C57AB">
      <w:pPr>
        <w:jc w:val="left"/>
      </w:pPr>
      <w:r>
        <w:t>或授权委托人：</w:t>
      </w:r>
      <w:r>
        <w:rPr>
          <w:rFonts w:hint="eastAsia"/>
        </w:rPr>
        <w:t xml:space="preserve">                          </w:t>
      </w:r>
      <w:r>
        <w:t>或授权委托人：</w:t>
      </w:r>
    </w:p>
    <w:p w14:paraId="5FB4B3C7">
      <w:pPr>
        <w:jc w:val="left"/>
      </w:pPr>
    </w:p>
    <w:p w14:paraId="061D7782">
      <w:pPr>
        <w:jc w:val="left"/>
      </w:pPr>
      <w:r>
        <w:t>时间 ：   年    月   日</w:t>
      </w:r>
      <w:r>
        <w:rPr>
          <w:rFonts w:hint="eastAsia"/>
        </w:rPr>
        <w:t xml:space="preserve">                 </w:t>
      </w:r>
      <w:r>
        <w:t>时间 ：   年    月   日</w:t>
      </w:r>
    </w:p>
    <w:p w14:paraId="27BB6B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D322C"/>
    <w:multiLevelType w:val="singleLevel"/>
    <w:tmpl w:val="D7ED322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33375"/>
    <w:rsid w:val="05AE415C"/>
    <w:rsid w:val="06A371F9"/>
    <w:rsid w:val="0D8278C0"/>
    <w:rsid w:val="11733375"/>
    <w:rsid w:val="310622FB"/>
    <w:rsid w:val="35AB5BD9"/>
    <w:rsid w:val="55141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Wingdings" w:hAnsi="Wingdings"/>
      <w:sz w:val="28"/>
    </w:rPr>
  </w:style>
  <w:style w:type="paragraph" w:styleId="3">
    <w:name w:val="Body Text First Indent"/>
    <w:basedOn w:val="2"/>
    <w:next w:val="4"/>
    <w:qFormat/>
    <w:uiPriority w:val="0"/>
    <w:pPr>
      <w:spacing w:after="120"/>
      <w:ind w:firstLine="420" w:firstLineChars="100"/>
    </w:pPr>
    <w:rPr>
      <w:rFonts w:ascii="Times New Roman" w:hAnsi="Times New Roman"/>
      <w:sz w:val="24"/>
      <w:szCs w:val="20"/>
    </w:rPr>
  </w:style>
  <w:style w:type="paragraph" w:customStyle="1" w:styleId="4">
    <w:name w:val="段落正文"/>
    <w:basedOn w:val="1"/>
    <w:qFormat/>
    <w:uiPriority w:val="0"/>
    <w:pPr>
      <w:spacing w:before="50" w:beforeLines="50" w:line="360" w:lineRule="auto"/>
      <w:ind w:firstLine="200" w:firstLineChars="200"/>
    </w:pPr>
    <w:rPr>
      <w:spacing w:val="2"/>
      <w:sz w:val="24"/>
      <w:szCs w:val="20"/>
    </w:rPr>
  </w:style>
  <w:style w:type="character" w:customStyle="1" w:styleId="7">
    <w:name w:val="font21"/>
    <w:basedOn w:val="6"/>
    <w:qFormat/>
    <w:uiPriority w:val="0"/>
    <w:rPr>
      <w:rFonts w:hint="default" w:ascii="Times New Roman" w:hAnsi="Times New Roman" w:cs="Times New Roman"/>
      <w:color w:val="000000"/>
      <w:sz w:val="21"/>
      <w:szCs w:val="21"/>
      <w:u w:val="none"/>
    </w:rPr>
  </w:style>
  <w:style w:type="character" w:customStyle="1" w:styleId="8">
    <w:name w:val="font11"/>
    <w:basedOn w:val="6"/>
    <w:qFormat/>
    <w:uiPriority w:val="0"/>
    <w:rPr>
      <w:rFonts w:hint="eastAsia" w:ascii="方正楷体简体" w:hAnsi="方正楷体简体" w:eastAsia="方正楷体简体" w:cs="方正楷体简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6547</Words>
  <Characters>6750</Characters>
  <Lines>0</Lines>
  <Paragraphs>0</Paragraphs>
  <TotalTime>5</TotalTime>
  <ScaleCrop>false</ScaleCrop>
  <LinksUpToDate>false</LinksUpToDate>
  <CharactersWithSpaces>7075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2025-07-25T02:23:00Z</dcterms:created>
  <dc:creator>WPS_1719461108</dc:creator>
  <cp:lastModifiedBy>王天赐</cp:lastModifiedBy>
  <dcterms:modified xsi:type="dcterms:W3CDTF">2025-08-01T09:52:37Z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F29C820C1A454E79821E68569B07B4A3_11</vt:lpwstr>
  </property>
  <property fmtid="{D5CDD505-2E9C-101B-9397-08002B2CF9AE}" pid="4" name="KSOTemplateDocerSaveRecord">
    <vt:lpwstr>eyJoZGlkIjoiOWViYWExN2Y2Yjg0MzliMTA5MTZlYzAxMTZkZmJkZGMiLCJ1c2VySWQiOiIyNjU3MjEyNzEifQ==</vt:lpwstr>
  </property>
</Properties>
</file>