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9682B">
      <w:pPr>
        <w:keepNext w:val="0"/>
        <w:keepLines w:val="0"/>
        <w:pageBreakBefore w:val="0"/>
        <w:widowControl w:val="0"/>
        <w:kinsoku/>
        <w:wordWrap/>
        <w:overflowPunct/>
        <w:topLinePunct w:val="0"/>
        <w:bidi w:val="0"/>
        <w:snapToGrid/>
        <w:spacing w:line="360" w:lineRule="auto"/>
        <w:ind w:firstLine="0" w:firstLineChars="0"/>
        <w:jc w:val="center"/>
        <w:textAlignment w:val="auto"/>
        <w:rPr>
          <w:rFonts w:hint="eastAsia" w:ascii="仿宋_GB2312" w:hAnsi="仿宋_GB2312" w:eastAsia="仿宋_GB2312" w:cs="仿宋_GB2312"/>
          <w:b/>
          <w:bCs w:val="0"/>
          <w:color w:val="auto"/>
          <w:sz w:val="44"/>
          <w:szCs w:val="44"/>
          <w:highlight w:val="none"/>
          <w:lang w:val="en-US" w:eastAsia="zh-CN"/>
        </w:rPr>
      </w:pPr>
      <w:r>
        <w:rPr>
          <w:rFonts w:hint="eastAsia" w:ascii="仿宋_GB2312" w:hAnsi="仿宋_GB2312" w:eastAsia="仿宋_GB2312" w:cs="仿宋_GB2312"/>
          <w:b/>
          <w:bCs w:val="0"/>
          <w:color w:val="auto"/>
          <w:sz w:val="44"/>
          <w:szCs w:val="44"/>
          <w:highlight w:val="none"/>
          <w:u w:val="single"/>
          <w:lang w:val="en-US" w:eastAsia="zh-CN"/>
        </w:rPr>
        <w:t>页岩砖、耐火砖</w:t>
      </w:r>
      <w:r>
        <w:rPr>
          <w:rFonts w:hint="default" w:ascii="仿宋_GB2312" w:hAnsi="仿宋_GB2312" w:eastAsia="仿宋_GB2312" w:cs="仿宋_GB2312"/>
          <w:b/>
          <w:bCs w:val="0"/>
          <w:color w:val="auto"/>
          <w:sz w:val="44"/>
          <w:szCs w:val="44"/>
          <w:highlight w:val="none"/>
          <w:lang w:val="en-US"/>
        </w:rPr>
        <w:t>材料买卖合同</w:t>
      </w:r>
    </w:p>
    <w:p w14:paraId="42ACDDD4">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 xml:space="preserve">                                     </w:t>
      </w:r>
    </w:p>
    <w:p w14:paraId="48C28381">
      <w:pPr>
        <w:keepNext w:val="0"/>
        <w:keepLines w:val="0"/>
        <w:pageBreakBefore w:val="0"/>
        <w:widowControl w:val="0"/>
        <w:kinsoku/>
        <w:wordWrap w:val="0"/>
        <w:overflowPunct/>
        <w:topLinePunct w:val="0"/>
        <w:bidi w:val="0"/>
        <w:snapToGrid/>
        <w:spacing w:line="360" w:lineRule="auto"/>
        <w:ind w:firstLine="5040" w:firstLineChars="2400"/>
        <w:jc w:val="right"/>
        <w:textAlignment w:val="auto"/>
        <w:rPr>
          <w:rFonts w:hint="default" w:ascii="仿宋_GB2312" w:hAnsi="仿宋_GB2312" w:eastAsia="仿宋_GB2312" w:cs="仿宋_GB2312"/>
          <w:color w:val="auto"/>
          <w:szCs w:val="28"/>
          <w:highlight w:val="none"/>
          <w:lang w:val="en-US" w:eastAsia="zh-CN"/>
        </w:rPr>
      </w:pPr>
      <w:r>
        <w:rPr>
          <w:rFonts w:hint="eastAsia" w:ascii="仿宋_GB2312" w:hAnsi="仿宋_GB2312" w:eastAsia="仿宋_GB2312" w:cs="仿宋_GB2312"/>
          <w:color w:val="auto"/>
          <w:szCs w:val="28"/>
          <w:highlight w:val="none"/>
        </w:rPr>
        <w:t>合同编号：</w:t>
      </w:r>
      <w:r>
        <w:rPr>
          <w:rFonts w:hint="eastAsia" w:ascii="仿宋_GB2312" w:hAnsi="仿宋_GB2312" w:eastAsia="仿宋_GB2312" w:cs="仿宋_GB2312"/>
          <w:color w:val="auto"/>
          <w:szCs w:val="28"/>
          <w:highlight w:val="none"/>
          <w:lang w:val="en-US" w:eastAsia="zh-CN"/>
        </w:rPr>
        <w:t xml:space="preserve">             </w:t>
      </w:r>
    </w:p>
    <w:p w14:paraId="52842CF2">
      <w:pPr>
        <w:keepNext w:val="0"/>
        <w:keepLines w:val="0"/>
        <w:pageBreakBefore w:val="0"/>
        <w:widowControl w:val="0"/>
        <w:kinsoku/>
        <w:wordWrap w:val="0"/>
        <w:overflowPunct/>
        <w:topLinePunct w:val="0"/>
        <w:bidi w:val="0"/>
        <w:snapToGrid/>
        <w:spacing w:line="360" w:lineRule="auto"/>
        <w:jc w:val="right"/>
        <w:textAlignment w:val="auto"/>
        <w:rPr>
          <w:rFonts w:hint="default" w:ascii="仿宋_GB2312" w:hAnsi="仿宋_GB2312" w:eastAsia="仿宋_GB2312" w:cs="仿宋_GB2312"/>
          <w:b/>
          <w:bCs/>
          <w:color w:val="auto"/>
          <w:szCs w:val="28"/>
          <w:highlight w:val="none"/>
          <w:lang w:val="en-US" w:eastAsia="zh-CN"/>
        </w:rPr>
      </w:pPr>
      <w:r>
        <w:rPr>
          <w:rFonts w:hint="eastAsia" w:ascii="仿宋_GB2312" w:hAnsi="仿宋_GB2312" w:eastAsia="仿宋_GB2312" w:cs="仿宋_GB2312"/>
          <w:b/>
          <w:bCs/>
          <w:color w:val="auto"/>
          <w:szCs w:val="28"/>
          <w:highlight w:val="none"/>
          <w:lang w:val="en-US" w:eastAsia="zh-CN"/>
        </w:rPr>
        <w:t>合同签订地</w:t>
      </w:r>
      <w:r>
        <w:rPr>
          <w:rFonts w:hint="eastAsia" w:ascii="仿宋_GB2312" w:hAnsi="仿宋_GB2312" w:eastAsia="仿宋_GB2312" w:cs="仿宋_GB2312"/>
          <w:b/>
          <w:bCs/>
          <w:color w:val="auto"/>
          <w:szCs w:val="28"/>
          <w:highlight w:val="none"/>
        </w:rPr>
        <w:t xml:space="preserve">： </w:t>
      </w:r>
      <w:r>
        <w:rPr>
          <w:rFonts w:hint="eastAsia" w:ascii="仿宋_GB2312" w:hAnsi="仿宋_GB2312" w:eastAsia="仿宋_GB2312" w:cs="仿宋_GB2312"/>
          <w:b/>
          <w:bCs/>
          <w:color w:val="auto"/>
          <w:szCs w:val="28"/>
          <w:highlight w:val="none"/>
          <w:lang w:val="en-US" w:eastAsia="zh-CN"/>
        </w:rPr>
        <w:t xml:space="preserve">          </w:t>
      </w:r>
    </w:p>
    <w:p w14:paraId="223C003D">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仿宋_GB2312" w:hAnsi="仿宋_GB2312" w:eastAsia="仿宋_GB2312" w:cs="仿宋_GB2312"/>
          <w:color w:val="auto"/>
          <w:szCs w:val="28"/>
          <w:highlight w:val="none"/>
        </w:rPr>
      </w:pPr>
    </w:p>
    <w:p w14:paraId="11652E4D">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t xml:space="preserve">甲方（买方）：           </w:t>
      </w:r>
    </w:p>
    <w:p w14:paraId="7B651A95">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t xml:space="preserve">乙方（卖方）：            </w:t>
      </w:r>
    </w:p>
    <w:p w14:paraId="7DAEE2B7">
      <w:pPr>
        <w:keepNext w:val="0"/>
        <w:keepLines w:val="0"/>
        <w:pageBreakBefore w:val="0"/>
        <w:widowControl w:val="0"/>
        <w:kinsoku/>
        <w:wordWrap/>
        <w:overflowPunct/>
        <w:topLinePunct w:val="0"/>
        <w:bidi w:val="0"/>
        <w:snapToGrid/>
        <w:spacing w:line="360" w:lineRule="auto"/>
        <w:textAlignment w:val="auto"/>
        <w:rPr>
          <w:rFonts w:hint="default"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sz w:val="24"/>
          <w:highlight w:val="none"/>
        </w:rPr>
        <w:t>统一社会信用代码：</w:t>
      </w:r>
    </w:p>
    <w:p w14:paraId="652DE436">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color w:val="auto"/>
          <w:sz w:val="24"/>
          <w:highlight w:val="none"/>
        </w:rPr>
      </w:pPr>
    </w:p>
    <w:p w14:paraId="7F31E06C">
      <w:pPr>
        <w:keepNext w:val="0"/>
        <w:keepLines w:val="0"/>
        <w:pageBreakBefore w:val="0"/>
        <w:widowControl w:val="0"/>
        <w:kinsoku/>
        <w:wordWrap/>
        <w:overflowPunct/>
        <w:topLinePunct w:val="0"/>
        <w:bidi w:val="0"/>
        <w:snapToGrid/>
        <w:spacing w:line="360" w:lineRule="auto"/>
        <w:ind w:firstLine="42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27F3E1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甲方承建 </w:t>
      </w:r>
      <w:r>
        <w:rPr>
          <w:rFonts w:hint="eastAsia" w:ascii="仿宋_GB2312" w:hAnsi="仿宋_GB2312" w:eastAsia="仿宋_GB2312" w:cs="仿宋_GB2312"/>
          <w:i w:val="0"/>
          <w:iCs w:val="0"/>
          <w:caps w:val="0"/>
          <w:color w:val="auto"/>
          <w:spacing w:val="0"/>
          <w:sz w:val="24"/>
          <w:szCs w:val="24"/>
          <w:highlight w:val="none"/>
          <w:shd w:val="clear"/>
        </w:rPr>
        <w:t>三星堆遗址区棚户区改造项目（二期）</w:t>
      </w:r>
      <w:r>
        <w:rPr>
          <w:rFonts w:hint="eastAsia" w:ascii="仿宋_GB2312" w:hAnsi="仿宋_GB2312" w:eastAsia="仿宋_GB2312" w:cs="仿宋_GB2312"/>
          <w:color w:val="auto"/>
          <w:sz w:val="24"/>
          <w:highlight w:val="none"/>
        </w:rPr>
        <w:t>工程项目，需向乙方购买一定数量、质量符合甲方施工工程设计文件及施工技术规范要求的</w:t>
      </w:r>
      <w:r>
        <w:rPr>
          <w:rFonts w:hint="eastAsia" w:ascii="仿宋_GB2312" w:hAnsi="仿宋_GB2312" w:eastAsia="仿宋_GB2312" w:cs="仿宋_GB2312"/>
          <w:color w:val="auto"/>
          <w:sz w:val="24"/>
          <w:highlight w:val="none"/>
          <w:lang w:val="en-US" w:eastAsia="zh-CN"/>
        </w:rPr>
        <w:t>页岩砖、耐火砖</w:t>
      </w:r>
      <w:r>
        <w:rPr>
          <w:rFonts w:hint="eastAsia" w:ascii="仿宋_GB2312" w:hAnsi="仿宋_GB2312" w:eastAsia="仿宋_GB2312" w:cs="仿宋_GB2312"/>
          <w:color w:val="auto"/>
          <w:sz w:val="24"/>
          <w:highlight w:val="none"/>
          <w:u w:val="none"/>
          <w:lang w:val="en-US" w:eastAsia="zh-CN"/>
        </w:rPr>
        <w:t>材料</w:t>
      </w:r>
      <w:r>
        <w:rPr>
          <w:rFonts w:hint="eastAsia" w:ascii="仿宋_GB2312" w:hAnsi="仿宋_GB2312" w:eastAsia="仿宋_GB2312" w:cs="仿宋_GB2312"/>
          <w:color w:val="auto"/>
          <w:sz w:val="24"/>
          <w:highlight w:val="none"/>
        </w:rPr>
        <w:t>，为明确双方的权利、责任和义务，经甲乙双方共同商定，按照《中华人民共和国民法典》及相关法律法规的规定订立本合同，由双方共同遵守执行。</w:t>
      </w:r>
    </w:p>
    <w:tbl>
      <w:tblPr>
        <w:tblStyle w:val="9"/>
        <w:tblpPr w:leftFromText="180" w:rightFromText="180" w:vertAnchor="text" w:horzAnchor="page" w:tblpX="1157" w:tblpY="858"/>
        <w:tblOverlap w:val="never"/>
        <w:tblW w:w="8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142"/>
        <w:gridCol w:w="1146"/>
        <w:gridCol w:w="358"/>
        <w:gridCol w:w="931"/>
        <w:gridCol w:w="700"/>
        <w:gridCol w:w="1462"/>
        <w:gridCol w:w="1074"/>
        <w:gridCol w:w="1087"/>
      </w:tblGrid>
      <w:tr w14:paraId="1DFA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09" w:type="dxa"/>
            <w:vAlign w:val="center"/>
          </w:tcPr>
          <w:p w14:paraId="306DEF45">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物资名称</w:t>
            </w:r>
          </w:p>
        </w:tc>
        <w:tc>
          <w:tcPr>
            <w:tcW w:w="1142" w:type="dxa"/>
            <w:vAlign w:val="center"/>
          </w:tcPr>
          <w:p w14:paraId="766C9119">
            <w:pPr>
              <w:keepNext w:val="0"/>
              <w:keepLines w:val="0"/>
              <w:pageBreakBefore w:val="0"/>
              <w:widowControl w:val="0"/>
              <w:kinsoku/>
              <w:wordWrap/>
              <w:overflowPunct/>
              <w:topLinePunct w:val="0"/>
              <w:bidi w:val="0"/>
              <w:snapToGrid/>
              <w:spacing w:line="360" w:lineRule="auto"/>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规格、</w:t>
            </w:r>
          </w:p>
          <w:p w14:paraId="466BAFA3">
            <w:pPr>
              <w:keepNext w:val="0"/>
              <w:keepLines w:val="0"/>
              <w:pageBreakBefore w:val="0"/>
              <w:widowControl w:val="0"/>
              <w:kinsoku/>
              <w:wordWrap/>
              <w:overflowPunct/>
              <w:topLinePunct w:val="0"/>
              <w:bidi w:val="0"/>
              <w:snapToGrid/>
              <w:spacing w:line="360" w:lineRule="auto"/>
              <w:jc w:val="both"/>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型号</w:t>
            </w:r>
            <w:r>
              <w:rPr>
                <w:rFonts w:hint="eastAsia" w:ascii="仿宋_GB2312" w:hAnsi="仿宋_GB2312" w:eastAsia="仿宋_GB2312" w:cs="仿宋_GB2312"/>
                <w:color w:val="auto"/>
                <w:sz w:val="24"/>
                <w:highlight w:val="none"/>
                <w:lang w:eastAsia="zh-CN"/>
              </w:rPr>
              <w:t>（单位：</w:t>
            </w:r>
            <w:r>
              <w:rPr>
                <w:rFonts w:hint="eastAsia" w:ascii="仿宋_GB2312" w:hAnsi="仿宋_GB2312" w:eastAsia="仿宋_GB2312" w:cs="仿宋_GB2312"/>
                <w:color w:val="auto"/>
                <w:sz w:val="24"/>
                <w:highlight w:val="none"/>
                <w:lang w:val="en-US" w:eastAsia="zh-CN"/>
              </w:rPr>
              <w:t>mm</w:t>
            </w:r>
            <w:r>
              <w:rPr>
                <w:rFonts w:hint="eastAsia" w:ascii="仿宋_GB2312" w:hAnsi="仿宋_GB2312" w:eastAsia="仿宋_GB2312" w:cs="仿宋_GB2312"/>
                <w:color w:val="auto"/>
                <w:sz w:val="24"/>
                <w:highlight w:val="none"/>
                <w:lang w:eastAsia="zh-CN"/>
              </w:rPr>
              <w:t>）</w:t>
            </w:r>
          </w:p>
        </w:tc>
        <w:tc>
          <w:tcPr>
            <w:tcW w:w="1146" w:type="dxa"/>
            <w:vAlign w:val="center"/>
          </w:tcPr>
          <w:p w14:paraId="2E2822B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预计</w:t>
            </w:r>
          </w:p>
          <w:p w14:paraId="04BBA19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数量</w:t>
            </w:r>
          </w:p>
        </w:tc>
        <w:tc>
          <w:tcPr>
            <w:tcW w:w="358" w:type="dxa"/>
            <w:vAlign w:val="center"/>
          </w:tcPr>
          <w:p w14:paraId="11A5DB7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w:t>
            </w:r>
          </w:p>
        </w:tc>
        <w:tc>
          <w:tcPr>
            <w:tcW w:w="931" w:type="dxa"/>
            <w:vAlign w:val="center"/>
          </w:tcPr>
          <w:p w14:paraId="194BD29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税前</w:t>
            </w:r>
          </w:p>
          <w:p w14:paraId="2CA123EC">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到场单价</w:t>
            </w:r>
          </w:p>
        </w:tc>
        <w:tc>
          <w:tcPr>
            <w:tcW w:w="700" w:type="dxa"/>
            <w:vAlign w:val="center"/>
          </w:tcPr>
          <w:p w14:paraId="0BC98176">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eastAsia="zh-CN"/>
              </w:rPr>
              <w:t>运费及其他</w:t>
            </w:r>
          </w:p>
        </w:tc>
        <w:tc>
          <w:tcPr>
            <w:tcW w:w="1462" w:type="dxa"/>
            <w:vAlign w:val="center"/>
          </w:tcPr>
          <w:p w14:paraId="06F55B7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lang w:val="en-US" w:eastAsia="zh-CN"/>
              </w:rPr>
              <w:t>不含税金额</w:t>
            </w:r>
          </w:p>
        </w:tc>
        <w:tc>
          <w:tcPr>
            <w:tcW w:w="1074" w:type="dxa"/>
            <w:vAlign w:val="center"/>
          </w:tcPr>
          <w:p w14:paraId="1DF6C139">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rPr>
              <w:t>税</w:t>
            </w:r>
            <w:r>
              <w:rPr>
                <w:rFonts w:hint="eastAsia" w:ascii="仿宋_GB2312" w:hAnsi="仿宋_GB2312" w:eastAsia="仿宋_GB2312" w:cs="仿宋_GB2312"/>
                <w:color w:val="auto"/>
                <w:sz w:val="24"/>
                <w:highlight w:val="none"/>
                <w:lang w:val="en-US" w:eastAsia="zh-CN"/>
              </w:rPr>
              <w:t>金</w:t>
            </w:r>
          </w:p>
        </w:tc>
        <w:tc>
          <w:tcPr>
            <w:tcW w:w="1087" w:type="dxa"/>
            <w:vAlign w:val="center"/>
          </w:tcPr>
          <w:p w14:paraId="6814138E">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highlight w:val="none"/>
                <w:lang w:val="en-US" w:eastAsia="zh-CN"/>
              </w:rPr>
              <w:t>价税合计</w:t>
            </w:r>
          </w:p>
        </w:tc>
      </w:tr>
      <w:tr w14:paraId="62B4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4C45CC62">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页岩实心砖</w:t>
            </w:r>
          </w:p>
        </w:tc>
        <w:tc>
          <w:tcPr>
            <w:tcW w:w="1142" w:type="dxa"/>
            <w:vAlign w:val="center"/>
          </w:tcPr>
          <w:p w14:paraId="24BB445B">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240*115*53</w:t>
            </w:r>
          </w:p>
        </w:tc>
        <w:tc>
          <w:tcPr>
            <w:tcW w:w="1146" w:type="dxa"/>
            <w:vAlign w:val="center"/>
          </w:tcPr>
          <w:p w14:paraId="4379A7E6">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789</w:t>
            </w:r>
            <w:r>
              <w:rPr>
                <w:rFonts w:hint="eastAsia" w:cs="Times New Roman"/>
                <w:i w:val="0"/>
                <w:iCs w:val="0"/>
                <w:color w:val="auto"/>
                <w:kern w:val="0"/>
                <w:sz w:val="24"/>
                <w:szCs w:val="24"/>
                <w:highlight w:val="none"/>
                <w:u w:val="none"/>
                <w:lang w:val="en-US" w:eastAsia="zh-CN" w:bidi="ar"/>
              </w:rPr>
              <w:t>.</w:t>
            </w:r>
            <w:r>
              <w:rPr>
                <w:rFonts w:hint="default" w:ascii="Times New Roman" w:hAnsi="Times New Roman" w:eastAsia="宋体" w:cs="Times New Roman"/>
                <w:i w:val="0"/>
                <w:iCs w:val="0"/>
                <w:color w:val="auto"/>
                <w:kern w:val="0"/>
                <w:sz w:val="24"/>
                <w:szCs w:val="24"/>
                <w:highlight w:val="none"/>
                <w:u w:val="none"/>
                <w:lang w:val="en-US" w:eastAsia="zh-CN" w:bidi="ar"/>
              </w:rPr>
              <w:t>348</w:t>
            </w:r>
          </w:p>
        </w:tc>
        <w:tc>
          <w:tcPr>
            <w:tcW w:w="358" w:type="dxa"/>
            <w:vAlign w:val="center"/>
          </w:tcPr>
          <w:p w14:paraId="6916FF7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0BC3E752">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1626195B">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187FDFDE">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7906B771">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3F4959C6">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115D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388D3800">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页岩实心砖</w:t>
            </w:r>
          </w:p>
        </w:tc>
        <w:tc>
          <w:tcPr>
            <w:tcW w:w="1142" w:type="dxa"/>
            <w:vAlign w:val="center"/>
          </w:tcPr>
          <w:p w14:paraId="5DEAFE83">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200*115*53</w:t>
            </w:r>
          </w:p>
        </w:tc>
        <w:tc>
          <w:tcPr>
            <w:tcW w:w="1146" w:type="dxa"/>
            <w:vAlign w:val="center"/>
          </w:tcPr>
          <w:p w14:paraId="7D96B33E">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553</w:t>
            </w:r>
            <w:r>
              <w:rPr>
                <w:rFonts w:hint="eastAsia" w:cs="Times New Roman"/>
                <w:i w:val="0"/>
                <w:iCs w:val="0"/>
                <w:color w:val="auto"/>
                <w:kern w:val="0"/>
                <w:sz w:val="24"/>
                <w:szCs w:val="24"/>
                <w:highlight w:val="none"/>
                <w:u w:val="none"/>
                <w:lang w:val="en-US" w:eastAsia="zh-CN" w:bidi="ar"/>
              </w:rPr>
              <w:t>.</w:t>
            </w:r>
            <w:r>
              <w:rPr>
                <w:rFonts w:hint="default" w:ascii="Times New Roman" w:hAnsi="Times New Roman" w:eastAsia="宋体" w:cs="Times New Roman"/>
                <w:i w:val="0"/>
                <w:iCs w:val="0"/>
                <w:color w:val="auto"/>
                <w:kern w:val="0"/>
                <w:sz w:val="24"/>
                <w:szCs w:val="24"/>
                <w:highlight w:val="none"/>
                <w:u w:val="none"/>
                <w:lang w:val="en-US" w:eastAsia="zh-CN" w:bidi="ar"/>
              </w:rPr>
              <w:t>053.</w:t>
            </w:r>
          </w:p>
        </w:tc>
        <w:tc>
          <w:tcPr>
            <w:tcW w:w="358" w:type="dxa"/>
            <w:vAlign w:val="center"/>
          </w:tcPr>
          <w:p w14:paraId="09D5964F">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1512110B">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350132D6">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06D447E6">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0172738E">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778D8EDD">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1773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06A7991F">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页岩实心砖</w:t>
            </w:r>
          </w:p>
        </w:tc>
        <w:tc>
          <w:tcPr>
            <w:tcW w:w="1142" w:type="dxa"/>
            <w:vAlign w:val="center"/>
          </w:tcPr>
          <w:p w14:paraId="3BDACFEA">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180*115*53</w:t>
            </w:r>
          </w:p>
        </w:tc>
        <w:tc>
          <w:tcPr>
            <w:tcW w:w="1146" w:type="dxa"/>
            <w:vAlign w:val="center"/>
          </w:tcPr>
          <w:p w14:paraId="33ECC612">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400</w:t>
            </w:r>
          </w:p>
        </w:tc>
        <w:tc>
          <w:tcPr>
            <w:tcW w:w="358" w:type="dxa"/>
            <w:vAlign w:val="center"/>
          </w:tcPr>
          <w:p w14:paraId="55486AC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42F05248">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4925C62E">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1E8CDD1E">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659B4FC2">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5384DC55">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5357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1DC2867C">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页岩实心砖</w:t>
            </w:r>
          </w:p>
        </w:tc>
        <w:tc>
          <w:tcPr>
            <w:tcW w:w="1142" w:type="dxa"/>
            <w:vAlign w:val="center"/>
          </w:tcPr>
          <w:p w14:paraId="2C2A9FE4">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200*90*53</w:t>
            </w:r>
          </w:p>
        </w:tc>
        <w:tc>
          <w:tcPr>
            <w:tcW w:w="1146" w:type="dxa"/>
            <w:vAlign w:val="center"/>
          </w:tcPr>
          <w:p w14:paraId="3CFD8790">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400</w:t>
            </w:r>
          </w:p>
        </w:tc>
        <w:tc>
          <w:tcPr>
            <w:tcW w:w="358" w:type="dxa"/>
            <w:vAlign w:val="center"/>
          </w:tcPr>
          <w:p w14:paraId="5DBABE94">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5897A661">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79323A36">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20000BBA">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473905CD">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657FEE3E">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105D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09" w:type="dxa"/>
            <w:vAlign w:val="center"/>
          </w:tcPr>
          <w:p w14:paraId="20DDF49A">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页岩多孔砖</w:t>
            </w:r>
          </w:p>
        </w:tc>
        <w:tc>
          <w:tcPr>
            <w:tcW w:w="1142" w:type="dxa"/>
            <w:vAlign w:val="center"/>
          </w:tcPr>
          <w:p w14:paraId="0E4E3DAE">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rPr>
            </w:pPr>
            <w:r>
              <w:rPr>
                <w:rFonts w:hint="eastAsia" w:ascii="宋体" w:hAnsi="宋体" w:eastAsia="宋体" w:cs="宋体"/>
                <w:i w:val="0"/>
                <w:iCs w:val="0"/>
                <w:color w:val="auto"/>
                <w:kern w:val="0"/>
                <w:sz w:val="24"/>
                <w:szCs w:val="24"/>
                <w:highlight w:val="none"/>
                <w:u w:val="none"/>
                <w:lang w:val="en-US" w:eastAsia="zh-CN" w:bidi="ar"/>
              </w:rPr>
              <w:t>200*</w:t>
            </w:r>
            <w:r>
              <w:rPr>
                <w:rFonts w:hint="eastAsia" w:ascii="宋体" w:hAnsi="宋体" w:cs="宋体"/>
                <w:i w:val="0"/>
                <w:iCs w:val="0"/>
                <w:color w:val="auto"/>
                <w:kern w:val="0"/>
                <w:sz w:val="24"/>
                <w:szCs w:val="24"/>
                <w:highlight w:val="none"/>
                <w:u w:val="none"/>
                <w:lang w:val="en-US" w:eastAsia="zh-CN" w:bidi="ar"/>
              </w:rPr>
              <w:t>90</w:t>
            </w: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cs="宋体"/>
                <w:i w:val="0"/>
                <w:iCs w:val="0"/>
                <w:color w:val="auto"/>
                <w:kern w:val="0"/>
                <w:sz w:val="24"/>
                <w:szCs w:val="24"/>
                <w:highlight w:val="none"/>
                <w:u w:val="none"/>
                <w:lang w:val="en-US" w:eastAsia="zh-CN" w:bidi="ar"/>
              </w:rPr>
              <w:t>115</w:t>
            </w:r>
          </w:p>
        </w:tc>
        <w:tc>
          <w:tcPr>
            <w:tcW w:w="1146" w:type="dxa"/>
            <w:vAlign w:val="center"/>
          </w:tcPr>
          <w:p w14:paraId="72943B69">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1801</w:t>
            </w:r>
            <w:r>
              <w:rPr>
                <w:rFonts w:hint="eastAsia" w:cs="Times New Roman"/>
                <w:i w:val="0"/>
                <w:iCs w:val="0"/>
                <w:color w:val="auto"/>
                <w:kern w:val="0"/>
                <w:sz w:val="24"/>
                <w:szCs w:val="24"/>
                <w:highlight w:val="none"/>
                <w:u w:val="none"/>
                <w:lang w:val="en-US" w:eastAsia="zh-CN" w:bidi="ar"/>
              </w:rPr>
              <w:t>.</w:t>
            </w:r>
            <w:r>
              <w:rPr>
                <w:rFonts w:hint="default" w:ascii="Times New Roman" w:hAnsi="Times New Roman" w:eastAsia="宋体" w:cs="Times New Roman"/>
                <w:i w:val="0"/>
                <w:iCs w:val="0"/>
                <w:color w:val="auto"/>
                <w:kern w:val="0"/>
                <w:sz w:val="24"/>
                <w:szCs w:val="24"/>
                <w:highlight w:val="none"/>
                <w:u w:val="none"/>
                <w:lang w:val="en-US" w:eastAsia="zh-CN" w:bidi="ar"/>
              </w:rPr>
              <w:t>635</w:t>
            </w:r>
          </w:p>
        </w:tc>
        <w:tc>
          <w:tcPr>
            <w:tcW w:w="358" w:type="dxa"/>
            <w:vAlign w:val="center"/>
          </w:tcPr>
          <w:p w14:paraId="113598C7">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4B2A556B">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49B27EFF">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07B58352">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43025D2C">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52CA40CC">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245E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2CC1BF88">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页岩多孔砖</w:t>
            </w:r>
          </w:p>
        </w:tc>
        <w:tc>
          <w:tcPr>
            <w:tcW w:w="1142" w:type="dxa"/>
            <w:vAlign w:val="center"/>
          </w:tcPr>
          <w:p w14:paraId="5E379DE6">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rPr>
            </w:pPr>
            <w:r>
              <w:rPr>
                <w:rFonts w:hint="eastAsia" w:ascii="宋体" w:hAnsi="宋体" w:eastAsia="宋体" w:cs="宋体"/>
                <w:i w:val="0"/>
                <w:iCs w:val="0"/>
                <w:color w:val="auto"/>
                <w:kern w:val="0"/>
                <w:sz w:val="24"/>
                <w:szCs w:val="24"/>
                <w:highlight w:val="none"/>
                <w:u w:val="none"/>
                <w:lang w:val="en-US" w:eastAsia="zh-CN" w:bidi="ar"/>
              </w:rPr>
              <w:t>200*1</w:t>
            </w:r>
            <w:r>
              <w:rPr>
                <w:rFonts w:hint="eastAsia" w:ascii="宋体" w:hAnsi="宋体" w:cs="宋体"/>
                <w:i w:val="0"/>
                <w:iCs w:val="0"/>
                <w:color w:val="auto"/>
                <w:kern w:val="0"/>
                <w:sz w:val="24"/>
                <w:szCs w:val="24"/>
                <w:highlight w:val="none"/>
                <w:u w:val="none"/>
                <w:lang w:val="en-US" w:eastAsia="zh-CN" w:bidi="ar"/>
              </w:rPr>
              <w:t>80</w:t>
            </w:r>
            <w:r>
              <w:rPr>
                <w:rFonts w:hint="eastAsia" w:ascii="宋体" w:hAnsi="宋体" w:eastAsia="宋体" w:cs="宋体"/>
                <w:i w:val="0"/>
                <w:iCs w:val="0"/>
                <w:color w:val="auto"/>
                <w:kern w:val="0"/>
                <w:sz w:val="24"/>
                <w:szCs w:val="24"/>
                <w:highlight w:val="none"/>
                <w:u w:val="none"/>
                <w:lang w:val="en-US" w:eastAsia="zh-CN" w:bidi="ar"/>
              </w:rPr>
              <w:t>*1</w:t>
            </w:r>
            <w:r>
              <w:rPr>
                <w:rFonts w:hint="eastAsia" w:ascii="宋体" w:hAnsi="宋体" w:cs="宋体"/>
                <w:i w:val="0"/>
                <w:iCs w:val="0"/>
                <w:color w:val="auto"/>
                <w:kern w:val="0"/>
                <w:sz w:val="24"/>
                <w:szCs w:val="24"/>
                <w:highlight w:val="none"/>
                <w:u w:val="none"/>
                <w:lang w:val="en-US" w:eastAsia="zh-CN" w:bidi="ar"/>
              </w:rPr>
              <w:t>15</w:t>
            </w:r>
          </w:p>
        </w:tc>
        <w:tc>
          <w:tcPr>
            <w:tcW w:w="1146" w:type="dxa"/>
            <w:vAlign w:val="center"/>
          </w:tcPr>
          <w:p w14:paraId="356A3894">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1201</w:t>
            </w:r>
            <w:r>
              <w:rPr>
                <w:rFonts w:hint="eastAsia" w:cs="Times New Roman"/>
                <w:i w:val="0"/>
                <w:iCs w:val="0"/>
                <w:color w:val="auto"/>
                <w:kern w:val="0"/>
                <w:sz w:val="24"/>
                <w:szCs w:val="24"/>
                <w:highlight w:val="none"/>
                <w:u w:val="none"/>
                <w:lang w:val="en-US" w:eastAsia="zh-CN" w:bidi="ar"/>
              </w:rPr>
              <w:t>.</w:t>
            </w:r>
            <w:r>
              <w:rPr>
                <w:rFonts w:hint="default" w:ascii="Times New Roman" w:hAnsi="Times New Roman" w:eastAsia="宋体" w:cs="Times New Roman"/>
                <w:i w:val="0"/>
                <w:iCs w:val="0"/>
                <w:color w:val="auto"/>
                <w:kern w:val="0"/>
                <w:sz w:val="24"/>
                <w:szCs w:val="24"/>
                <w:highlight w:val="none"/>
                <w:u w:val="none"/>
                <w:lang w:val="en-US" w:eastAsia="zh-CN" w:bidi="ar"/>
              </w:rPr>
              <w:t>090</w:t>
            </w:r>
          </w:p>
        </w:tc>
        <w:tc>
          <w:tcPr>
            <w:tcW w:w="358" w:type="dxa"/>
            <w:vAlign w:val="center"/>
          </w:tcPr>
          <w:p w14:paraId="4FB24D8A">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56D7A673">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5CAF63B9">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13A1516C">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6B11D50F">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3A55593B">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4EEA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5458C651">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耐火砖</w:t>
            </w:r>
          </w:p>
        </w:tc>
        <w:tc>
          <w:tcPr>
            <w:tcW w:w="1142" w:type="dxa"/>
            <w:vAlign w:val="center"/>
          </w:tcPr>
          <w:p w14:paraId="15AB5E92">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eastAsia" w:ascii="宋体" w:hAnsi="宋体" w:eastAsia="宋体" w:cs="宋体"/>
                <w:i w:val="0"/>
                <w:iCs w:val="0"/>
                <w:color w:val="auto"/>
                <w:kern w:val="0"/>
                <w:sz w:val="24"/>
                <w:szCs w:val="24"/>
                <w:highlight w:val="none"/>
                <w:u w:val="none"/>
                <w:lang w:val="en-US" w:eastAsia="zh-CN" w:bidi="ar"/>
              </w:rPr>
              <w:t>200*90*53</w:t>
            </w:r>
          </w:p>
        </w:tc>
        <w:tc>
          <w:tcPr>
            <w:tcW w:w="1146" w:type="dxa"/>
            <w:vAlign w:val="center"/>
          </w:tcPr>
          <w:p w14:paraId="3D85130F">
            <w:pPr>
              <w:keepNext w:val="0"/>
              <w:keepLines w:val="0"/>
              <w:widowControl/>
              <w:suppressLineNumbers w:val="0"/>
              <w:jc w:val="center"/>
              <w:textAlignment w:val="center"/>
              <w:rPr>
                <w:rFonts w:hint="eastAsia" w:ascii="仿宋_GB2312" w:hAnsi="仿宋_GB2312" w:eastAsia="仿宋_GB2312" w:cs="仿宋_GB2312"/>
                <w:color w:val="auto"/>
                <w:sz w:val="24"/>
                <w:highlight w:val="none"/>
              </w:rPr>
            </w:pPr>
            <w:r>
              <w:rPr>
                <w:rFonts w:hint="default" w:ascii="Times New Roman" w:hAnsi="Times New Roman" w:eastAsia="宋体" w:cs="Times New Roman"/>
                <w:i w:val="0"/>
                <w:iCs w:val="0"/>
                <w:color w:val="auto"/>
                <w:kern w:val="0"/>
                <w:sz w:val="24"/>
                <w:szCs w:val="24"/>
                <w:highlight w:val="none"/>
                <w:u w:val="none"/>
                <w:lang w:val="en-US" w:eastAsia="zh-CN" w:bidi="ar"/>
              </w:rPr>
              <w:t>72</w:t>
            </w:r>
            <w:r>
              <w:rPr>
                <w:rFonts w:hint="eastAsia" w:cs="Times New Roman"/>
                <w:i w:val="0"/>
                <w:iCs w:val="0"/>
                <w:color w:val="auto"/>
                <w:kern w:val="0"/>
                <w:sz w:val="24"/>
                <w:szCs w:val="24"/>
                <w:highlight w:val="none"/>
                <w:u w:val="none"/>
                <w:lang w:val="en-US" w:eastAsia="zh-CN" w:bidi="ar"/>
              </w:rPr>
              <w:t>.</w:t>
            </w:r>
            <w:r>
              <w:rPr>
                <w:rFonts w:hint="default" w:ascii="Times New Roman" w:hAnsi="Times New Roman" w:eastAsia="宋体" w:cs="Times New Roman"/>
                <w:i w:val="0"/>
                <w:iCs w:val="0"/>
                <w:color w:val="auto"/>
                <w:kern w:val="0"/>
                <w:sz w:val="24"/>
                <w:szCs w:val="24"/>
                <w:highlight w:val="none"/>
                <w:u w:val="none"/>
                <w:lang w:val="en-US" w:eastAsia="zh-CN" w:bidi="ar"/>
              </w:rPr>
              <w:t>220</w:t>
            </w:r>
          </w:p>
        </w:tc>
        <w:tc>
          <w:tcPr>
            <w:tcW w:w="358" w:type="dxa"/>
            <w:vAlign w:val="center"/>
          </w:tcPr>
          <w:p w14:paraId="31FFE1FB">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千匹</w:t>
            </w:r>
          </w:p>
        </w:tc>
        <w:tc>
          <w:tcPr>
            <w:tcW w:w="931" w:type="dxa"/>
            <w:vAlign w:val="center"/>
          </w:tcPr>
          <w:p w14:paraId="35ECC64B">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700" w:type="dxa"/>
            <w:vAlign w:val="center"/>
          </w:tcPr>
          <w:p w14:paraId="7D65A174">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462" w:type="dxa"/>
            <w:vAlign w:val="center"/>
          </w:tcPr>
          <w:p w14:paraId="366F0025">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74" w:type="dxa"/>
            <w:vAlign w:val="center"/>
          </w:tcPr>
          <w:p w14:paraId="4125FF35">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c>
          <w:tcPr>
            <w:tcW w:w="1087" w:type="dxa"/>
            <w:vAlign w:val="center"/>
          </w:tcPr>
          <w:p w14:paraId="2AA03366">
            <w:pPr>
              <w:keepNext w:val="0"/>
              <w:keepLines w:val="0"/>
              <w:widowControl/>
              <w:suppressLineNumbers w:val="0"/>
              <w:jc w:val="center"/>
              <w:textAlignment w:val="center"/>
              <w:rPr>
                <w:rFonts w:hint="default" w:ascii="仿宋_GB2312" w:hAnsi="仿宋_GB2312" w:eastAsia="仿宋_GB2312" w:cs="仿宋_GB2312"/>
                <w:color w:val="auto"/>
                <w:sz w:val="24"/>
                <w:highlight w:val="none"/>
                <w:lang w:val="en-US" w:eastAsia="zh-CN"/>
              </w:rPr>
            </w:pPr>
          </w:p>
        </w:tc>
      </w:tr>
      <w:tr w14:paraId="6E69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Align w:val="center"/>
          </w:tcPr>
          <w:p w14:paraId="18D938A8">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 计</w:t>
            </w:r>
          </w:p>
        </w:tc>
        <w:tc>
          <w:tcPr>
            <w:tcW w:w="1142" w:type="dxa"/>
            <w:vAlign w:val="center"/>
          </w:tcPr>
          <w:p w14:paraId="3AA3C1BD">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p>
        </w:tc>
        <w:tc>
          <w:tcPr>
            <w:tcW w:w="1146" w:type="dxa"/>
            <w:vAlign w:val="center"/>
          </w:tcPr>
          <w:p w14:paraId="19E16879">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5217346</w:t>
            </w:r>
          </w:p>
        </w:tc>
        <w:tc>
          <w:tcPr>
            <w:tcW w:w="358" w:type="dxa"/>
            <w:vAlign w:val="center"/>
          </w:tcPr>
          <w:p w14:paraId="2492C987">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p>
        </w:tc>
        <w:tc>
          <w:tcPr>
            <w:tcW w:w="931" w:type="dxa"/>
            <w:vAlign w:val="center"/>
          </w:tcPr>
          <w:p w14:paraId="462EBB51">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p>
        </w:tc>
        <w:tc>
          <w:tcPr>
            <w:tcW w:w="700" w:type="dxa"/>
            <w:vAlign w:val="center"/>
          </w:tcPr>
          <w:p w14:paraId="751B302E">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p>
        </w:tc>
        <w:tc>
          <w:tcPr>
            <w:tcW w:w="1462" w:type="dxa"/>
            <w:vAlign w:val="center"/>
          </w:tcPr>
          <w:p w14:paraId="242AD780">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074" w:type="dxa"/>
            <w:vAlign w:val="center"/>
          </w:tcPr>
          <w:p w14:paraId="5CB48E6E">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c>
          <w:tcPr>
            <w:tcW w:w="1087" w:type="dxa"/>
            <w:vAlign w:val="center"/>
          </w:tcPr>
          <w:p w14:paraId="1672167D">
            <w:pPr>
              <w:keepNext w:val="0"/>
              <w:keepLines w:val="0"/>
              <w:pageBreakBefore w:val="0"/>
              <w:widowControl w:val="0"/>
              <w:kinsoku/>
              <w:wordWrap/>
              <w:overflowPunct/>
              <w:topLinePunct w:val="0"/>
              <w:bidi w:val="0"/>
              <w:snapToGrid/>
              <w:spacing w:line="360" w:lineRule="auto"/>
              <w:jc w:val="center"/>
              <w:textAlignment w:val="auto"/>
              <w:rPr>
                <w:rFonts w:hint="default" w:ascii="仿宋_GB2312" w:hAnsi="仿宋_GB2312" w:eastAsia="仿宋_GB2312" w:cs="仿宋_GB2312"/>
                <w:color w:val="auto"/>
                <w:sz w:val="24"/>
                <w:highlight w:val="none"/>
                <w:lang w:val="en-US" w:eastAsia="zh-CN"/>
              </w:rPr>
            </w:pPr>
          </w:p>
        </w:tc>
      </w:tr>
      <w:tr w14:paraId="05D0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8"/>
          <w:wAfter w:w="7900" w:type="dxa"/>
        </w:trPr>
        <w:tc>
          <w:tcPr>
            <w:tcW w:w="909" w:type="dxa"/>
            <w:vAlign w:val="center"/>
          </w:tcPr>
          <w:p w14:paraId="5B5FE080">
            <w:pPr>
              <w:keepNext w:val="0"/>
              <w:keepLines w:val="0"/>
              <w:pageBreakBefore w:val="0"/>
              <w:widowControl w:val="0"/>
              <w:kinsoku/>
              <w:wordWrap/>
              <w:overflowPunct/>
              <w:topLinePunct w:val="0"/>
              <w:bidi w:val="0"/>
              <w:snapToGrid/>
              <w:spacing w:line="36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备注</w:t>
            </w:r>
          </w:p>
        </w:tc>
      </w:tr>
    </w:tbl>
    <w:p w14:paraId="1215BBA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p>
    <w:p w14:paraId="3CDCE3D4">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b/>
          <w:color w:val="auto"/>
          <w:sz w:val="24"/>
          <w:highlight w:val="none"/>
        </w:rPr>
        <w:t>一、材料名称、规格、数量、单价</w:t>
      </w:r>
      <w:r>
        <w:rPr>
          <w:rFonts w:hint="eastAsia" w:ascii="仿宋_GB2312" w:hAnsi="仿宋_GB2312" w:eastAsia="仿宋_GB2312" w:cs="仿宋_GB2312"/>
          <w:b/>
          <w:color w:val="auto"/>
          <w:sz w:val="24"/>
          <w:highlight w:val="none"/>
          <w:lang w:eastAsia="zh-CN"/>
        </w:rPr>
        <w:t>、</w:t>
      </w:r>
      <w:r>
        <w:rPr>
          <w:rFonts w:hint="eastAsia" w:ascii="仿宋_GB2312" w:hAnsi="仿宋_GB2312" w:eastAsia="仿宋_GB2312" w:cs="仿宋_GB2312"/>
          <w:b/>
          <w:color w:val="auto"/>
          <w:sz w:val="24"/>
          <w:highlight w:val="none"/>
        </w:rPr>
        <w:t>金额</w:t>
      </w:r>
    </w:p>
    <w:p w14:paraId="0EDF4EC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color w:val="auto"/>
          <w:spacing w:val="0"/>
          <w:sz w:val="24"/>
          <w:szCs w:val="24"/>
          <w:highlight w:val="none"/>
        </w:rPr>
        <w:t>本合同</w:t>
      </w:r>
      <w:r>
        <w:rPr>
          <w:rFonts w:hint="eastAsia" w:ascii="仿宋_GB2312" w:hAnsi="仿宋_GB2312" w:eastAsia="仿宋_GB2312" w:cs="仿宋_GB2312"/>
          <w:b w:val="0"/>
          <w:bCs/>
          <w:color w:val="auto"/>
          <w:spacing w:val="0"/>
          <w:sz w:val="24"/>
          <w:szCs w:val="24"/>
          <w:highlight w:val="none"/>
          <w:lang w:val="en-US" w:eastAsia="zh-CN"/>
        </w:rPr>
        <w:t>金额共暂</w:t>
      </w:r>
      <w:r>
        <w:rPr>
          <w:rFonts w:hint="eastAsia" w:ascii="仿宋_GB2312" w:hAnsi="仿宋_GB2312" w:eastAsia="仿宋_GB2312" w:cs="仿宋_GB2312"/>
          <w:b w:val="0"/>
          <w:bCs/>
          <w:color w:val="auto"/>
          <w:spacing w:val="0"/>
          <w:sz w:val="24"/>
          <w:szCs w:val="24"/>
          <w:highlight w:val="none"/>
        </w:rPr>
        <w:t>计人民币</w:t>
      </w:r>
      <w:r>
        <w:rPr>
          <w:rFonts w:hint="eastAsia" w:ascii="仿宋_GB2312" w:hAnsi="仿宋_GB2312" w:eastAsia="仿宋_GB2312" w:cs="仿宋_GB2312"/>
          <w:b w:val="0"/>
          <w:bCs/>
          <w:color w:val="auto"/>
          <w:spacing w:val="0"/>
          <w:sz w:val="24"/>
          <w:szCs w:val="24"/>
          <w:highlight w:val="none"/>
          <w:u w:val="none"/>
        </w:rPr>
        <w:t>：</w:t>
      </w:r>
      <w:r>
        <w:rPr>
          <w:rFonts w:hint="eastAsia" w:ascii="仿宋_GB2312" w:hAnsi="仿宋_GB2312" w:eastAsia="仿宋_GB2312" w:cs="仿宋_GB2312"/>
          <w:b w:val="0"/>
          <w:bCs/>
          <w:color w:val="auto"/>
          <w:spacing w:val="0"/>
          <w:sz w:val="24"/>
          <w:szCs w:val="24"/>
          <w:highlight w:val="none"/>
          <w:u w:val="single"/>
          <w:lang w:val="en-US" w:eastAsia="zh-CN"/>
        </w:rPr>
        <w:t>含税</w:t>
      </w:r>
      <w:r>
        <w:rPr>
          <w:rFonts w:hint="eastAsia" w:ascii="仿宋_GB2312" w:hAnsi="仿宋_GB2312" w:eastAsia="仿宋_GB2312" w:cs="仿宋_GB2312"/>
          <w:b w:val="0"/>
          <w:bCs/>
          <w:color w:val="auto"/>
          <w:spacing w:val="0"/>
          <w:sz w:val="24"/>
          <w:szCs w:val="24"/>
          <w:highlight w:val="none"/>
          <w:u w:val="single"/>
        </w:rPr>
        <w:t>元（大写：</w:t>
      </w:r>
      <w:r>
        <w:rPr>
          <w:rFonts w:hint="eastAsia" w:ascii="仿宋_GB2312" w:hAnsi="仿宋_GB2312" w:eastAsia="仿宋_GB2312" w:cs="仿宋_GB2312"/>
          <w:b w:val="0"/>
          <w:bCs/>
          <w:color w:val="auto"/>
          <w:spacing w:val="0"/>
          <w:sz w:val="24"/>
          <w:szCs w:val="24"/>
          <w:highlight w:val="none"/>
          <w:u w:val="single"/>
          <w:lang w:val="en-US" w:eastAsia="zh-CN"/>
        </w:rPr>
        <w:t xml:space="preserve">   </w:t>
      </w:r>
      <w:r>
        <w:rPr>
          <w:rFonts w:hint="eastAsia" w:ascii="仿宋_GB2312" w:hAnsi="仿宋_GB2312" w:eastAsia="仿宋_GB2312" w:cs="仿宋_GB2312"/>
          <w:b w:val="0"/>
          <w:bCs/>
          <w:color w:val="auto"/>
          <w:spacing w:val="0"/>
          <w:sz w:val="24"/>
          <w:szCs w:val="24"/>
          <w:highlight w:val="none"/>
          <w:u w:val="single"/>
        </w:rPr>
        <w:t>）</w:t>
      </w:r>
      <w:r>
        <w:rPr>
          <w:rFonts w:hint="eastAsia" w:ascii="仿宋_GB2312" w:hAnsi="仿宋_GB2312" w:eastAsia="仿宋_GB2312" w:cs="仿宋_GB2312"/>
          <w:b w:val="0"/>
          <w:bCs/>
          <w:color w:val="auto"/>
          <w:spacing w:val="0"/>
          <w:sz w:val="24"/>
          <w:szCs w:val="24"/>
          <w:highlight w:val="none"/>
          <w:u w:val="single"/>
          <w:lang w:eastAsia="zh-CN"/>
        </w:rPr>
        <w:t>，</w:t>
      </w:r>
      <w:r>
        <w:rPr>
          <w:rFonts w:hint="eastAsia" w:ascii="仿宋_GB2312" w:hAnsi="仿宋_GB2312" w:eastAsia="仿宋_GB2312" w:cs="仿宋_GB2312"/>
          <w:b w:val="0"/>
          <w:bCs/>
          <w:color w:val="auto"/>
          <w:spacing w:val="0"/>
          <w:sz w:val="24"/>
          <w:szCs w:val="24"/>
          <w:highlight w:val="none"/>
          <w:u w:val="single"/>
          <w:lang w:val="en-US" w:eastAsia="zh-CN"/>
        </w:rPr>
        <w:t>不含税  元，税率为  %，税额   元。</w:t>
      </w:r>
    </w:p>
    <w:p w14:paraId="7C7768F8">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仿宋_GB2312" w:hAnsi="仿宋_GB2312" w:eastAsia="仿宋_GB2312" w:cs="仿宋_GB2312"/>
          <w:color w:val="auto"/>
          <w:sz w:val="24"/>
          <w:highlight w:val="none"/>
        </w:rPr>
      </w:pPr>
      <w:r>
        <w:commentReference w:id="0"/>
      </w:r>
      <w:r>
        <w:rPr>
          <w:rFonts w:hint="eastAsia" w:ascii="仿宋_GB2312" w:hAnsi="仿宋_GB2312" w:eastAsia="仿宋_GB2312" w:cs="仿宋_GB2312"/>
          <w:color w:val="auto"/>
          <w:sz w:val="24"/>
          <w:highlight w:val="none"/>
          <w:lang w:val="en-US" w:eastAsia="zh-CN"/>
        </w:rPr>
        <w:t>1.1</w:t>
      </w:r>
      <w:r>
        <w:rPr>
          <w:rFonts w:hint="eastAsia" w:ascii="仿宋_GB2312" w:hAnsi="仿宋_GB2312" w:eastAsia="仿宋_GB2312" w:cs="仿宋_GB2312"/>
          <w:b/>
          <w:bCs/>
          <w:i/>
          <w:iCs/>
          <w:color w:val="auto"/>
          <w:sz w:val="24"/>
          <w:highlight w:val="none"/>
          <w:u w:val="none"/>
          <w:lang w:val="en-US" w:eastAsia="zh-CN"/>
        </w:rPr>
        <w:t>乙方充分理解甲方对各规格材料的实际需求数量及购买数量可能增减调整，</w:t>
      </w:r>
      <w:r>
        <w:rPr>
          <w:rFonts w:hint="eastAsia" w:ascii="仿宋_GB2312" w:hAnsi="仿宋_GB2312" w:eastAsia="仿宋_GB2312" w:cs="仿宋_GB2312"/>
          <w:b/>
          <w:bCs/>
          <w:i/>
          <w:iCs/>
          <w:color w:val="auto"/>
          <w:sz w:val="24"/>
          <w:highlight w:val="none"/>
          <w:u w:val="none"/>
        </w:rPr>
        <w:t>乙方不以预计数量向甲方主张任何权利。各规格材料最终数量以甲方指定人员验收合格的入库产品结算数量为准。</w:t>
      </w:r>
    </w:p>
    <w:p w14:paraId="05ED6B77">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1.</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含税到场单价中</w:t>
      </w:r>
      <w:commentRangeStart w:id="1"/>
      <w:commentRangeStart w:id="2"/>
      <w:r>
        <w:rPr>
          <w:rFonts w:hint="eastAsia" w:ascii="仿宋_GB2312" w:hAnsi="仿宋_GB2312" w:eastAsia="仿宋_GB2312" w:cs="仿宋_GB2312"/>
          <w:color w:val="auto"/>
          <w:sz w:val="24"/>
          <w:highlight w:val="none"/>
        </w:rPr>
        <w:t>包含</w:t>
      </w:r>
      <w:r>
        <w:rPr>
          <w:rFonts w:hint="eastAsia" w:ascii="仿宋_GB2312" w:hAnsi="仿宋_GB2312" w:eastAsia="仿宋_GB2312" w:cs="仿宋_GB2312"/>
          <w:b w:val="0"/>
          <w:bCs w:val="0"/>
          <w:snapToGrid/>
          <w:color w:val="auto"/>
          <w:kern w:val="2"/>
          <w:sz w:val="24"/>
          <w:szCs w:val="24"/>
          <w:highlight w:val="none"/>
          <w:lang w:val="en-US" w:eastAsia="zh-CN" w:bidi="ar-SA"/>
        </w:rPr>
        <w:t>从出厂到施工现场的所有费用（包括但不限于材料费、人工费、机械费、出厂前检测费、运杂费、装车费、保险费、利润、检验试验费、卸车费、税金等一切该项目施工现场的所有费用）</w:t>
      </w:r>
      <w:r>
        <w:rPr>
          <w:rFonts w:hint="eastAsia" w:ascii="仿宋_GB2312" w:hAnsi="仿宋_GB2312" w:eastAsia="仿宋_GB2312" w:cs="仿宋_GB2312"/>
          <w:color w:val="auto"/>
          <w:sz w:val="24"/>
          <w:highlight w:val="none"/>
        </w:rPr>
        <w:t>，</w:t>
      </w:r>
      <w:commentRangeEnd w:id="1"/>
      <w:r>
        <w:commentReference w:id="1"/>
      </w:r>
      <w:commentRangeEnd w:id="2"/>
      <w:r>
        <w:commentReference w:id="2"/>
      </w:r>
      <w:r>
        <w:rPr>
          <w:rFonts w:hint="eastAsia" w:ascii="仿宋_GB2312" w:hAnsi="仿宋_GB2312" w:eastAsia="仿宋_GB2312" w:cs="仿宋_GB2312"/>
          <w:color w:val="auto"/>
          <w:sz w:val="24"/>
          <w:highlight w:val="none"/>
        </w:rPr>
        <w:t>除此之外，甲方不再承担其它任何费用。结算时，乙方应向甲方提供足额合法的增值税专用发票。</w:t>
      </w:r>
    </w:p>
    <w:p w14:paraId="12BD2F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1.3 </w:t>
      </w:r>
      <w:r>
        <w:rPr>
          <w:rFonts w:hint="eastAsia" w:ascii="仿宋_GB2312" w:hAnsi="仿宋_GB2312" w:eastAsia="仿宋_GB2312" w:cs="仿宋_GB2312"/>
          <w:color w:val="auto"/>
          <w:sz w:val="24"/>
          <w:highlight w:val="none"/>
        </w:rPr>
        <w:t>本合同单价采用下列第（</w:t>
      </w:r>
      <w:r>
        <w:rPr>
          <w:rFonts w:hint="eastAsia" w:ascii="仿宋_GB2312" w:hAnsi="仿宋_GB2312" w:eastAsia="仿宋_GB2312" w:cs="仿宋_GB2312"/>
          <w:color w:val="auto"/>
          <w:sz w:val="24"/>
          <w:highlight w:val="none"/>
          <w:lang w:val="en-US" w:eastAsia="zh-CN"/>
        </w:rPr>
        <w:t>①</w:t>
      </w:r>
      <w:r>
        <w:rPr>
          <w:rFonts w:hint="eastAsia" w:ascii="仿宋_GB2312" w:hAnsi="仿宋_GB2312" w:eastAsia="仿宋_GB2312" w:cs="仿宋_GB2312"/>
          <w:color w:val="auto"/>
          <w:sz w:val="24"/>
          <w:highlight w:val="none"/>
        </w:rPr>
        <w:t>）种：</w:t>
      </w:r>
    </w:p>
    <w:p w14:paraId="3A8F4C8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①</w:t>
      </w:r>
      <w:r>
        <w:rPr>
          <w:rFonts w:hint="eastAsia" w:ascii="仿宋_GB2312" w:hAnsi="仿宋_GB2312" w:eastAsia="仿宋_GB2312" w:cs="仿宋_GB2312"/>
          <w:color w:val="auto"/>
          <w:sz w:val="24"/>
          <w:highlight w:val="none"/>
        </w:rPr>
        <w:t>固定价：每次结算单价均按税前到场单价结算，合同期限内不作调整。</w:t>
      </w:r>
    </w:p>
    <w:p w14:paraId="150C93F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②</w:t>
      </w:r>
      <w:r>
        <w:rPr>
          <w:rFonts w:hint="eastAsia" w:ascii="仿宋_GB2312" w:hAnsi="仿宋_GB2312" w:eastAsia="仿宋_GB2312" w:cs="仿宋_GB2312"/>
          <w:color w:val="auto"/>
          <w:sz w:val="24"/>
          <w:highlight w:val="none"/>
          <w:lang w:eastAsia="zh-CN"/>
        </w:rPr>
        <w:t>浮动价：</w:t>
      </w:r>
      <w:r>
        <w:rPr>
          <w:rFonts w:hint="eastAsia" w:ascii="仿宋_GB2312" w:hAnsi="仿宋_GB2312" w:eastAsia="仿宋_GB2312" w:cs="仿宋_GB2312"/>
          <w:color w:val="auto"/>
          <w:sz w:val="24"/>
          <w:highlight w:val="none"/>
        </w:rPr>
        <w:t>每次结算单价采用浮动价，当期结算单价=合同单价+（比较价-基准价）。合同单价为“税前到场单价”。基准价按</w:t>
      </w:r>
      <w:r>
        <w:rPr>
          <w:rFonts w:hint="eastAsia" w:ascii="仿宋_GB2312" w:hAnsi="仿宋_GB2312" w:eastAsia="仿宋_GB2312" w:cs="仿宋_GB2312"/>
          <w:color w:val="auto"/>
          <w:sz w:val="24"/>
          <w:highlight w:val="none"/>
          <w:lang w:eastAsia="zh-CN"/>
        </w:rPr>
        <w:t>合同</w:t>
      </w:r>
      <w:r>
        <w:rPr>
          <w:rFonts w:hint="eastAsia" w:ascii="仿宋_GB2312" w:hAnsi="仿宋_GB2312" w:eastAsia="仿宋_GB2312" w:cs="仿宋_GB2312"/>
          <w:color w:val="auto"/>
          <w:sz w:val="24"/>
          <w:highlight w:val="none"/>
        </w:rPr>
        <w:t>约定的 xxx 元/吨执行。比较价以</w:t>
      </w:r>
      <w:r>
        <w:rPr>
          <w:rFonts w:hint="eastAsia" w:ascii="仿宋_GB2312" w:hAnsi="仿宋_GB2312" w:eastAsia="仿宋_GB2312" w:cs="仿宋_GB2312"/>
          <w:color w:val="auto"/>
          <w:sz w:val="24"/>
          <w:highlight w:val="none"/>
          <w:lang w:val="en-US" w:eastAsia="zh-CN"/>
        </w:rPr>
        <w:t>XX材料</w:t>
      </w:r>
      <w:r>
        <w:rPr>
          <w:rFonts w:hint="eastAsia" w:ascii="仿宋_GB2312" w:hAnsi="仿宋_GB2312" w:eastAsia="仿宋_GB2312" w:cs="仿宋_GB2312"/>
          <w:color w:val="auto"/>
          <w:sz w:val="24"/>
          <w:highlight w:val="none"/>
        </w:rPr>
        <w:t>到工地之日前XX网站（网址：  ）最新公布的“</w:t>
      </w:r>
      <w:r>
        <w:rPr>
          <w:rFonts w:hint="eastAsia" w:ascii="仿宋_GB2312" w:hAnsi="仿宋_GB2312" w:eastAsia="仿宋_GB2312" w:cs="仿宋_GB2312"/>
          <w:color w:val="auto"/>
          <w:sz w:val="24"/>
          <w:highlight w:val="none"/>
          <w:lang w:val="en-US" w:eastAsia="zh-CN"/>
        </w:rPr>
        <w:t>XX</w:t>
      </w:r>
      <w:r>
        <w:rPr>
          <w:rFonts w:hint="eastAsia" w:ascii="仿宋_GB2312" w:hAnsi="仿宋_GB2312" w:eastAsia="仿宋_GB2312" w:cs="仿宋_GB2312"/>
          <w:color w:val="auto"/>
          <w:sz w:val="24"/>
          <w:highlight w:val="none"/>
        </w:rPr>
        <w:t>价格指数”，作为当期结算单价的比较价。比较价四舍五入，保留两位小数。相比税前到场单价涨跌幅±X</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color w:val="auto"/>
          <w:sz w:val="24"/>
          <w:highlight w:val="none"/>
        </w:rPr>
        <w:t>内不予调整（税前到场单价*（1±X</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color w:val="auto"/>
          <w:sz w:val="24"/>
          <w:highlight w:val="none"/>
        </w:rPr>
        <w:t>）之间不调整）。</w:t>
      </w:r>
    </w:p>
    <w:p w14:paraId="37303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若国家税务政策发生变化，则按调整后的税率计算，并及时签订补充协议。</w:t>
      </w:r>
    </w:p>
    <w:p w14:paraId="7F7B18F0">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bCs/>
          <w:color w:val="auto"/>
          <w:sz w:val="24"/>
          <w:highlight w:val="none"/>
        </w:rPr>
        <w:t>二、质量标准</w:t>
      </w:r>
    </w:p>
    <w:p w14:paraId="603775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本合同项下产品应满足如下质量标准：</w:t>
      </w:r>
    </w:p>
    <w:p w14:paraId="21C5E799">
      <w:pPr>
        <w:keepNext w:val="0"/>
        <w:keepLines w:val="0"/>
        <w:pageBreakBefore w:val="0"/>
        <w:widowControl w:val="0"/>
        <w:kinsoku/>
        <w:wordWrap/>
        <w:overflowPunct/>
        <w:topLinePunct w:val="0"/>
        <w:bidi w:val="0"/>
        <w:snapToGrid/>
        <w:spacing w:line="360" w:lineRule="auto"/>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lang w:val="en-US" w:eastAsia="zh-CN"/>
        </w:rPr>
        <w:t>符合质量验收规范要求。</w:t>
      </w:r>
    </w:p>
    <w:p w14:paraId="3D6718B1">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三、交货时间、地点及方式</w:t>
      </w:r>
    </w:p>
    <w:p w14:paraId="1B7291A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3.1 </w:t>
      </w:r>
      <w:r>
        <w:rPr>
          <w:rFonts w:hint="eastAsia" w:ascii="仿宋_GB2312" w:hAnsi="仿宋_GB2312" w:eastAsia="仿宋_GB2312" w:cs="仿宋_GB2312"/>
          <w:color w:val="auto"/>
          <w:sz w:val="24"/>
          <w:highlight w:val="none"/>
          <w:lang w:val="en-US" w:eastAsia="zh-CN"/>
        </w:rPr>
        <w:t>合同</w:t>
      </w:r>
      <w:r>
        <w:rPr>
          <w:rFonts w:hint="eastAsia" w:ascii="仿宋_GB2312" w:hAnsi="仿宋_GB2312" w:eastAsia="仿宋_GB2312" w:cs="仿宋_GB2312"/>
          <w:color w:val="auto"/>
          <w:sz w:val="24"/>
          <w:highlight w:val="none"/>
        </w:rPr>
        <w:t>期限：</w:t>
      </w:r>
      <w:r>
        <w:rPr>
          <w:rFonts w:hint="eastAsia" w:ascii="仿宋_GB2312" w:hAnsi="仿宋_GB2312" w:eastAsia="仿宋_GB2312" w:cs="仿宋_GB2312"/>
          <w:color w:val="auto"/>
          <w:sz w:val="24"/>
          <w:highlight w:val="none"/>
          <w:u w:val="single"/>
          <w:lang w:val="en-US" w:eastAsia="zh-CN"/>
        </w:rPr>
        <w:t>本合同签订之日起至项目完工</w:t>
      </w:r>
      <w:r>
        <w:rPr>
          <w:rFonts w:hint="eastAsia" w:ascii="仿宋_GB2312" w:hAnsi="仿宋_GB2312" w:eastAsia="仿宋_GB2312" w:cs="仿宋_GB2312"/>
          <w:color w:val="auto"/>
          <w:sz w:val="24"/>
          <w:highlight w:val="none"/>
        </w:rPr>
        <w:t>。</w:t>
      </w:r>
    </w:p>
    <w:p w14:paraId="701CFEC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3.2 交货地点：</w:t>
      </w:r>
      <w:r>
        <w:rPr>
          <w:rFonts w:hint="eastAsia" w:ascii="仿宋_GB2312" w:hAnsi="仿宋_GB2312" w:eastAsia="仿宋_GB2312" w:cs="仿宋_GB2312"/>
          <w:i w:val="0"/>
          <w:iCs w:val="0"/>
          <w:caps w:val="0"/>
          <w:color w:val="auto"/>
          <w:spacing w:val="0"/>
          <w:sz w:val="24"/>
          <w:szCs w:val="24"/>
          <w:highlight w:val="none"/>
          <w:shd w:val="clear"/>
        </w:rPr>
        <w:t>三星堆遗址区棚户区改造项目（二期）</w:t>
      </w:r>
      <w:r>
        <w:rPr>
          <w:rFonts w:hint="eastAsia" w:ascii="仿宋_GB2312" w:hAnsi="仿宋_GB2312" w:eastAsia="仿宋_GB2312" w:cs="仿宋_GB2312"/>
          <w:color w:val="auto"/>
          <w:sz w:val="24"/>
          <w:highlight w:val="none"/>
        </w:rPr>
        <w:t>。</w:t>
      </w:r>
    </w:p>
    <w:p w14:paraId="19CCC26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3.3 交付方式：</w:t>
      </w:r>
      <w:r>
        <w:rPr>
          <w:rFonts w:hint="eastAsia" w:ascii="仿宋_GB2312" w:hAnsi="仿宋_GB2312" w:eastAsia="仿宋_GB2312" w:cs="仿宋_GB2312"/>
          <w:color w:val="auto"/>
          <w:sz w:val="24"/>
          <w:highlight w:val="none"/>
          <w:lang w:val="en-US" w:eastAsia="zh-CN"/>
        </w:rPr>
        <w:t>现场交付</w:t>
      </w:r>
      <w:r>
        <w:rPr>
          <w:rFonts w:hint="eastAsia" w:ascii="仿宋_GB2312" w:hAnsi="仿宋_GB2312" w:eastAsia="仿宋_GB2312" w:cs="仿宋_GB2312"/>
          <w:color w:val="auto"/>
          <w:sz w:val="24"/>
          <w:highlight w:val="none"/>
        </w:rPr>
        <w:t>。乙方将材料送到甲方指定地点，以交货现场买方人员</w:t>
      </w:r>
      <w:r>
        <w:rPr>
          <w:rFonts w:hint="eastAsia" w:ascii="仿宋_GB2312" w:hAnsi="仿宋_GB2312" w:eastAsia="仿宋_GB2312" w:cs="仿宋_GB2312"/>
          <w:color w:val="auto"/>
          <w:sz w:val="24"/>
          <w:highlight w:val="none"/>
          <w:u w:val="single"/>
        </w:rPr>
        <w:t xml:space="preserve"> 验收合格产品数量</w:t>
      </w:r>
      <w:r>
        <w:rPr>
          <w:rFonts w:hint="eastAsia" w:ascii="仿宋_GB2312" w:hAnsi="仿宋_GB2312" w:eastAsia="仿宋_GB2312" w:cs="仿宋_GB2312"/>
          <w:color w:val="auto"/>
          <w:sz w:val="24"/>
          <w:highlight w:val="none"/>
        </w:rPr>
        <w:t>作为验收结算数量。双方确认数量后，应立即填写签认《收料单》作为结算</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款的凭据。《收料单》必须由双方专门指定的人员填写签认。其它人员填写签认的《收料单》及涂改无效。</w:t>
      </w:r>
      <w:r>
        <w:rPr>
          <w:rFonts w:hint="eastAsia" w:ascii="仿宋_GB2312" w:hAnsi="仿宋_GB2312" w:eastAsia="仿宋_GB2312" w:cs="仿宋_GB2312"/>
          <w:color w:val="auto"/>
          <w:sz w:val="24"/>
          <w:highlight w:val="none"/>
          <w:lang w:val="en-US" w:eastAsia="zh-CN"/>
        </w:rPr>
        <w:t>甲方</w:t>
      </w:r>
      <w:r>
        <w:rPr>
          <w:rFonts w:hint="eastAsia" w:ascii="仿宋_GB2312" w:hAnsi="仿宋_GB2312" w:eastAsia="仿宋_GB2312" w:cs="仿宋_GB2312"/>
          <w:color w:val="auto"/>
          <w:sz w:val="24"/>
          <w:highlight w:val="none"/>
        </w:rPr>
        <w:t>指定收货人为：联系人：</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lang w:eastAsia="zh-CN"/>
        </w:rPr>
        <w:t>，</w:t>
      </w:r>
      <w:r>
        <w:rPr>
          <w:rFonts w:hint="eastAsia" w:ascii="仿宋_GB2312" w:hAnsi="仿宋_GB2312" w:eastAsia="仿宋_GB2312" w:cs="仿宋_GB2312"/>
          <w:color w:val="auto"/>
          <w:sz w:val="24"/>
          <w:highlight w:val="none"/>
        </w:rPr>
        <w:t>电话：</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rPr>
        <w:t>。</w:t>
      </w:r>
    </w:p>
    <w:p w14:paraId="4BE1FF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3.4 甲方每上月末提供</w:t>
      </w:r>
      <w:r>
        <w:rPr>
          <w:rFonts w:hint="eastAsia" w:ascii="仿宋_GB2312" w:hAnsi="仿宋_GB2312" w:eastAsia="仿宋_GB2312" w:cs="仿宋_GB2312"/>
          <w:color w:val="auto"/>
          <w:sz w:val="24"/>
          <w:highlight w:val="none"/>
          <w:lang w:val="en-US" w:eastAsia="zh-CN"/>
        </w:rPr>
        <w:t>次</w:t>
      </w:r>
      <w:r>
        <w:rPr>
          <w:rFonts w:hint="eastAsia" w:ascii="仿宋_GB2312" w:hAnsi="仿宋_GB2312" w:eastAsia="仿宋_GB2312" w:cs="仿宋_GB2312"/>
          <w:color w:val="auto"/>
          <w:sz w:val="24"/>
          <w:highlight w:val="none"/>
        </w:rPr>
        <w:t>月的材料需求计划，乙方以甲方当月的材料需求计划为</w:t>
      </w:r>
      <w:r>
        <w:rPr>
          <w:rFonts w:hint="eastAsia" w:ascii="仿宋_GB2312" w:hAnsi="仿宋_GB2312" w:eastAsia="仿宋_GB2312" w:cs="仿宋_GB2312"/>
          <w:color w:val="auto"/>
          <w:sz w:val="24"/>
          <w:highlight w:val="none"/>
          <w:lang w:val="en-US" w:eastAsia="zh-CN"/>
        </w:rPr>
        <w:t>参考</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提前为甲方准备材料。</w:t>
      </w:r>
      <w:r>
        <w:rPr>
          <w:rFonts w:hint="eastAsia" w:ascii="仿宋_GB2312" w:hAnsi="仿宋_GB2312" w:eastAsia="仿宋_GB2312" w:cs="仿宋_GB2312"/>
          <w:color w:val="auto"/>
          <w:sz w:val="24"/>
          <w:highlight w:val="none"/>
        </w:rPr>
        <w:t>当月每次供货前甲方应</w:t>
      </w:r>
      <w:r>
        <w:rPr>
          <w:rFonts w:hint="eastAsia" w:ascii="仿宋_GB2312" w:hAnsi="仿宋_GB2312" w:eastAsia="仿宋_GB2312" w:cs="仿宋_GB2312"/>
          <w:color w:val="auto"/>
          <w:sz w:val="24"/>
          <w:highlight w:val="none"/>
          <w:lang w:val="en-US" w:eastAsia="zh-CN"/>
        </w:rPr>
        <w:t>提前</w:t>
      </w:r>
      <w:r>
        <w:rPr>
          <w:rFonts w:hint="eastAsia" w:ascii="仿宋_GB2312" w:hAnsi="仿宋_GB2312" w:eastAsia="仿宋_GB2312" w:cs="仿宋_GB2312"/>
          <w:color w:val="auto"/>
          <w:sz w:val="24"/>
          <w:highlight w:val="none"/>
          <w:u w:val="single"/>
          <w:lang w:val="en-US" w:eastAsia="zh-CN"/>
        </w:rPr>
        <w:t>3</w:t>
      </w:r>
      <w:r>
        <w:rPr>
          <w:rFonts w:hint="eastAsia" w:ascii="仿宋_GB2312" w:hAnsi="仿宋_GB2312" w:eastAsia="仿宋_GB2312" w:cs="仿宋_GB2312"/>
          <w:color w:val="auto"/>
          <w:sz w:val="24"/>
          <w:highlight w:val="none"/>
        </w:rPr>
        <w:t>天以书面报告或者电话短信</w:t>
      </w:r>
      <w:r>
        <w:rPr>
          <w:rFonts w:hint="eastAsia" w:ascii="仿宋_GB2312" w:hAnsi="仿宋_GB2312" w:eastAsia="仿宋_GB2312" w:cs="仿宋_GB2312"/>
          <w:color w:val="auto"/>
          <w:sz w:val="24"/>
          <w:highlight w:val="none"/>
          <w:lang w:val="en-US" w:eastAsia="zh-CN"/>
        </w:rPr>
        <w:t>微信等</w:t>
      </w:r>
      <w:r>
        <w:rPr>
          <w:rFonts w:hint="eastAsia" w:ascii="仿宋_GB2312" w:hAnsi="仿宋_GB2312" w:eastAsia="仿宋_GB2312" w:cs="仿宋_GB2312"/>
          <w:color w:val="auto"/>
          <w:sz w:val="24"/>
          <w:highlight w:val="none"/>
        </w:rPr>
        <w:t>方式通知乙方</w:t>
      </w:r>
      <w:r>
        <w:rPr>
          <w:rFonts w:hint="eastAsia" w:ascii="仿宋_GB2312" w:hAnsi="仿宋_GB2312" w:eastAsia="仿宋_GB2312" w:cs="仿宋_GB2312"/>
          <w:color w:val="auto"/>
          <w:sz w:val="24"/>
          <w:highlight w:val="none"/>
          <w:lang w:val="en-US" w:eastAsia="zh-CN"/>
        </w:rPr>
        <w:t>供货</w:t>
      </w:r>
      <w:r>
        <w:rPr>
          <w:rFonts w:hint="eastAsia" w:ascii="仿宋_GB2312" w:hAnsi="仿宋_GB2312" w:eastAsia="仿宋_GB2312" w:cs="仿宋_GB2312"/>
          <w:color w:val="auto"/>
          <w:sz w:val="24"/>
          <w:highlight w:val="none"/>
        </w:rPr>
        <w:t>计划，乙方需按时保质保量供货。</w:t>
      </w:r>
    </w:p>
    <w:p w14:paraId="06F509D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3.5 乙方应将生产的合格材料及时运至甲方指定</w:t>
      </w:r>
      <w:r>
        <w:rPr>
          <w:rFonts w:hint="eastAsia" w:ascii="仿宋_GB2312" w:hAnsi="仿宋_GB2312" w:eastAsia="仿宋_GB2312" w:cs="仿宋_GB2312"/>
          <w:color w:val="auto"/>
          <w:sz w:val="24"/>
          <w:highlight w:val="none"/>
          <w:lang w:eastAsia="zh-CN"/>
        </w:rPr>
        <w:t>的满足安全运输货物条件的</w:t>
      </w:r>
      <w:r>
        <w:rPr>
          <w:rFonts w:hint="eastAsia" w:ascii="仿宋_GB2312" w:hAnsi="仿宋_GB2312" w:eastAsia="仿宋_GB2312" w:cs="仿宋_GB2312"/>
          <w:color w:val="auto"/>
          <w:sz w:val="24"/>
          <w:highlight w:val="none"/>
        </w:rPr>
        <w:t>收料地点，并自行承担组织材料装卸及运输过程中的一切风险与责任（包括货物毁损、安全事故责任、</w:t>
      </w:r>
      <w:r>
        <w:rPr>
          <w:rFonts w:hint="eastAsia" w:ascii="仿宋_GB2312" w:hAnsi="仿宋_GB2312" w:eastAsia="仿宋_GB2312" w:cs="仿宋_GB2312"/>
          <w:color w:val="auto"/>
          <w:sz w:val="24"/>
          <w:highlight w:val="none"/>
          <w:lang w:val="en-US" w:eastAsia="zh-CN"/>
        </w:rPr>
        <w:t>场内外交通事故责任、</w:t>
      </w:r>
      <w:r>
        <w:rPr>
          <w:rFonts w:hint="eastAsia" w:ascii="仿宋_GB2312" w:hAnsi="仿宋_GB2312" w:eastAsia="仿宋_GB2312" w:cs="仿宋_GB2312"/>
          <w:color w:val="auto"/>
          <w:sz w:val="24"/>
          <w:highlight w:val="none"/>
        </w:rPr>
        <w:t>环境污染责任、运输途中安全协调等）。</w:t>
      </w:r>
      <w:r>
        <w:rPr>
          <w:rFonts w:hint="eastAsia" w:ascii="仿宋_GB2312" w:hAnsi="仿宋_GB2312" w:eastAsia="仿宋_GB2312" w:cs="仿宋_GB2312"/>
          <w:color w:val="auto"/>
          <w:sz w:val="24"/>
          <w:highlight w:val="none"/>
          <w:lang w:val="en-US" w:eastAsia="zh-CN"/>
        </w:rPr>
        <w:t>乙方应遵从甲方指挥人员安排。</w:t>
      </w:r>
    </w:p>
    <w:p w14:paraId="5F5F27B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3.6 若乙方超出计划总数量或当月数量向甲方供应材料，甲方有权单方面决定收购或不予收购，由此造成的一切损失由乙方自行负责。</w:t>
      </w:r>
    </w:p>
    <w:p w14:paraId="1EA431B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3.7 乙方需按照计划数量和时间供货，具体供货时间和数量由甲方按计划通知，若乙方不听从甲方计划安排或不能满足甲方计划数量与要求的质量，则甲方有权终止合同，另行通知其他供应商补充材料，由此造成的一切损失由乙方自行承担。</w:t>
      </w:r>
    </w:p>
    <w:p w14:paraId="3FB5E682">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四、产品验收</w:t>
      </w:r>
    </w:p>
    <w:p w14:paraId="1781333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4.1 乙方须向甲方提供品牌、型号、数量、质量符合合同要求，包装完好的材料（若需包装），同时提供生产厂家的产品质量检测报告，以示对产品质量的保证。</w:t>
      </w:r>
    </w:p>
    <w:p w14:paraId="6B805E3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4.2 甲方有权对进场材料进行检验验收，经甲方验收发现乙方提供材料数量不符、材料有丢失或损坏、材料品种、包装、型号、规格、质量不符合甲方要求的，甲方工作人员有权拒收全部或部分材料。甲方拒收的材料由乙方负责清运出场，由此产生的费用及造成的经济损失由乙方承担。如甲乙双方因质量检验结果发生争议，由</w:t>
      </w:r>
      <w:r>
        <w:rPr>
          <w:rFonts w:hint="eastAsia" w:ascii="仿宋_GB2312" w:hAnsi="仿宋_GB2312" w:eastAsia="仿宋_GB2312" w:cs="仿宋_GB2312"/>
          <w:color w:val="auto"/>
          <w:sz w:val="24"/>
          <w:highlight w:val="none"/>
          <w:lang w:val="en-US" w:eastAsia="zh-CN"/>
        </w:rPr>
        <w:t>双方认可的检测机构</w:t>
      </w:r>
      <w:r>
        <w:rPr>
          <w:rFonts w:hint="eastAsia" w:ascii="仿宋_GB2312" w:hAnsi="仿宋_GB2312" w:eastAsia="仿宋_GB2312" w:cs="仿宋_GB2312"/>
          <w:color w:val="auto"/>
          <w:sz w:val="24"/>
          <w:highlight w:val="none"/>
        </w:rPr>
        <w:t>最终检验确认。</w:t>
      </w:r>
    </w:p>
    <w:p w14:paraId="5327CE9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
          <w:bCs/>
          <w:i/>
          <w:iCs/>
          <w:color w:val="auto"/>
          <w:sz w:val="24"/>
          <w:highlight w:val="none"/>
          <w:lang w:eastAsia="zh-CN"/>
        </w:rPr>
      </w:pPr>
      <w:r>
        <w:rPr>
          <w:rFonts w:hint="eastAsia" w:ascii="仿宋_GB2312" w:hAnsi="仿宋_GB2312" w:eastAsia="仿宋_GB2312" w:cs="仿宋_GB2312"/>
          <w:color w:val="auto"/>
          <w:sz w:val="24"/>
          <w:highlight w:val="none"/>
        </w:rPr>
        <w:t>4.3《收料单》由甲乙双方指定人员签字后有效。甲方在《收料单》上的确认仅作为对已收到货品的规格、数量、颜色等的确认及外观的初步查验、认可，不以任何方式被解释为甲方已对验收货品内在质量表示认同。</w:t>
      </w:r>
      <w:r>
        <w:rPr>
          <w:rFonts w:hint="eastAsia" w:ascii="仿宋_GB2312" w:hAnsi="仿宋_GB2312" w:eastAsia="仿宋_GB2312" w:cs="仿宋_GB2312"/>
          <w:b/>
          <w:bCs/>
          <w:i/>
          <w:iCs/>
          <w:color w:val="auto"/>
          <w:sz w:val="24"/>
          <w:highlight w:val="none"/>
        </w:rPr>
        <w:t>甲方的现场验收不</w:t>
      </w:r>
      <w:r>
        <w:rPr>
          <w:rFonts w:hint="default" w:ascii="仿宋_GB2312" w:hAnsi="仿宋_GB2312" w:eastAsia="仿宋_GB2312" w:cs="仿宋_GB2312"/>
          <w:b/>
          <w:bCs/>
          <w:i/>
          <w:iCs/>
          <w:color w:val="auto"/>
          <w:sz w:val="24"/>
          <w:highlight w:val="none"/>
        </w:rPr>
        <w:t>免除乙方的产品责任</w:t>
      </w:r>
      <w:r>
        <w:rPr>
          <w:rFonts w:hint="eastAsia" w:ascii="仿宋_GB2312" w:hAnsi="仿宋_GB2312" w:eastAsia="仿宋_GB2312" w:cs="仿宋_GB2312"/>
          <w:b/>
          <w:bCs/>
          <w:i/>
          <w:iCs/>
          <w:color w:val="auto"/>
          <w:sz w:val="24"/>
          <w:highlight w:val="none"/>
          <w:lang w:eastAsia="zh-CN"/>
        </w:rPr>
        <w:t>，</w:t>
      </w:r>
      <w:r>
        <w:rPr>
          <w:rFonts w:hint="eastAsia" w:ascii="仿宋_GB2312" w:hAnsi="仿宋_GB2312" w:eastAsia="仿宋_GB2312" w:cs="仿宋_GB2312"/>
          <w:b/>
          <w:bCs/>
          <w:i/>
          <w:iCs/>
          <w:color w:val="auto"/>
          <w:sz w:val="24"/>
          <w:highlight w:val="none"/>
          <w:lang w:val="en-US" w:eastAsia="zh-CN"/>
        </w:rPr>
        <w:t>不作为判定物资内在质量合格的依据</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b/>
          <w:bCs/>
          <w:i/>
          <w:iCs/>
          <w:color w:val="auto"/>
          <w:sz w:val="24"/>
          <w:highlight w:val="none"/>
          <w:lang w:val="en-US" w:eastAsia="zh-CN"/>
        </w:rPr>
        <w:t>乙方应对材料的内在质量在建设工程质量保证期内负责</w:t>
      </w:r>
      <w:r>
        <w:rPr>
          <w:rFonts w:hint="eastAsia" w:ascii="仿宋_GB2312" w:hAnsi="仿宋_GB2312" w:eastAsia="仿宋_GB2312" w:cs="仿宋_GB2312"/>
          <w:b/>
          <w:bCs/>
          <w:i/>
          <w:iCs/>
          <w:color w:val="auto"/>
          <w:sz w:val="24"/>
          <w:highlight w:val="none"/>
          <w:lang w:eastAsia="zh-CN"/>
        </w:rPr>
        <w:t>。</w:t>
      </w:r>
    </w:p>
    <w:p w14:paraId="50C33AF4">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b w:val="0"/>
          <w:bCs w:val="0"/>
          <w:i w:val="0"/>
          <w:iCs w:val="0"/>
          <w:color w:val="auto"/>
          <w:sz w:val="24"/>
          <w:highlight w:val="none"/>
          <w:lang w:val="en-US" w:eastAsia="zh-CN"/>
        </w:rPr>
      </w:pPr>
      <w:r>
        <w:rPr>
          <w:rFonts w:hint="eastAsia" w:ascii="仿宋_GB2312" w:hAnsi="仿宋_GB2312" w:eastAsia="仿宋_GB2312" w:cs="仿宋_GB2312"/>
          <w:b w:val="0"/>
          <w:bCs w:val="0"/>
          <w:i w:val="0"/>
          <w:iCs w:val="0"/>
          <w:color w:val="auto"/>
          <w:sz w:val="24"/>
          <w:highlight w:val="none"/>
          <w:lang w:val="en-US" w:eastAsia="zh-CN"/>
        </w:rPr>
        <w:t>4.4如出现质量问题，乙方应于接到通知之日起</w:t>
      </w:r>
      <w:r>
        <w:rPr>
          <w:rFonts w:hint="eastAsia" w:ascii="仿宋_GB2312" w:hAnsi="仿宋_GB2312" w:eastAsia="仿宋_GB2312" w:cs="仿宋_GB2312"/>
          <w:b w:val="0"/>
          <w:bCs w:val="0"/>
          <w:i w:val="0"/>
          <w:iCs w:val="0"/>
          <w:color w:val="auto"/>
          <w:sz w:val="24"/>
          <w:highlight w:val="none"/>
          <w:u w:val="single"/>
          <w:lang w:val="en-US" w:eastAsia="zh-CN"/>
        </w:rPr>
        <w:t xml:space="preserve">  7  </w:t>
      </w:r>
      <w:r>
        <w:rPr>
          <w:rFonts w:hint="eastAsia" w:ascii="仿宋_GB2312" w:hAnsi="仿宋_GB2312" w:eastAsia="仿宋_GB2312" w:cs="仿宋_GB2312"/>
          <w:b w:val="0"/>
          <w:bCs w:val="0"/>
          <w:i w:val="0"/>
          <w:iCs w:val="0"/>
          <w:color w:val="auto"/>
          <w:sz w:val="24"/>
          <w:highlight w:val="none"/>
          <w:lang w:val="en-US" w:eastAsia="zh-CN"/>
        </w:rPr>
        <w:t>天内消除质量缺陷，甲方有权采取下列任一方式要求乙方承担责任：①</w:t>
      </w:r>
      <w:r>
        <w:rPr>
          <w:rFonts w:hint="eastAsia" w:ascii="仿宋_GB2312" w:hAnsi="仿宋_GB2312" w:eastAsia="仿宋_GB2312" w:cs="仿宋_GB2312"/>
          <w:color w:val="auto"/>
          <w:sz w:val="24"/>
          <w:highlight w:val="none"/>
        </w:rPr>
        <w:t>买方退货，</w:t>
      </w:r>
      <w:r>
        <w:rPr>
          <w:rFonts w:hint="eastAsia" w:ascii="仿宋_GB2312" w:hAnsi="仿宋_GB2312" w:eastAsia="仿宋_GB2312" w:cs="仿宋_GB2312"/>
          <w:color w:val="auto"/>
          <w:sz w:val="24"/>
          <w:highlight w:val="none"/>
          <w:lang w:val="en-US" w:eastAsia="zh-CN"/>
        </w:rPr>
        <w:t>乙方</w:t>
      </w:r>
      <w:r>
        <w:rPr>
          <w:rFonts w:hint="eastAsia" w:ascii="仿宋_GB2312" w:hAnsi="仿宋_GB2312" w:eastAsia="仿宋_GB2312" w:cs="仿宋_GB2312"/>
          <w:color w:val="auto"/>
          <w:sz w:val="24"/>
          <w:highlight w:val="none"/>
        </w:rPr>
        <w:t>将</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款退还给</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方，并承担由此产生的一切损失和费用，包括但不限于税费、利息、银行手续费、运费、保险费、检验费、仓储费、装车费、退回物资所发生的其他费用以及违约金。</w:t>
      </w:r>
      <w:r>
        <w:rPr>
          <w:rFonts w:hint="eastAsia" w:ascii="仿宋_GB2312" w:hAnsi="仿宋_GB2312" w:eastAsia="仿宋_GB2312" w:cs="仿宋_GB2312"/>
          <w:color w:val="auto"/>
          <w:sz w:val="24"/>
          <w:highlight w:val="none"/>
          <w:lang w:val="en-US" w:eastAsia="zh-CN"/>
        </w:rPr>
        <w:t>②乙</w:t>
      </w:r>
      <w:r>
        <w:rPr>
          <w:rFonts w:hint="eastAsia" w:ascii="仿宋_GB2312" w:hAnsi="仿宋_GB2312" w:eastAsia="仿宋_GB2312" w:cs="仿宋_GB2312"/>
          <w:color w:val="auto"/>
          <w:sz w:val="24"/>
          <w:highlight w:val="none"/>
        </w:rPr>
        <w:t>方用符合合同规定的新物资更换或修复有缺陷的物资，</w:t>
      </w:r>
      <w:r>
        <w:rPr>
          <w:rFonts w:hint="eastAsia" w:ascii="仿宋_GB2312" w:hAnsi="仿宋_GB2312" w:eastAsia="仿宋_GB2312" w:cs="仿宋_GB2312"/>
          <w:color w:val="auto"/>
          <w:sz w:val="24"/>
          <w:highlight w:val="none"/>
          <w:lang w:val="en-US" w:eastAsia="zh-CN"/>
        </w:rPr>
        <w:t>并</w:t>
      </w:r>
      <w:r>
        <w:rPr>
          <w:rFonts w:hint="eastAsia" w:ascii="仿宋_GB2312" w:hAnsi="仿宋_GB2312" w:eastAsia="仿宋_GB2312" w:cs="仿宋_GB2312"/>
          <w:color w:val="auto"/>
          <w:sz w:val="24"/>
          <w:highlight w:val="none"/>
        </w:rPr>
        <w:t>承担更换和修复发生的一切费用和风险。如果该缺陷出现在质量保证期内，则同时延长所更换或修复物资的质量保证期。如</w:t>
      </w:r>
      <w:r>
        <w:rPr>
          <w:rFonts w:hint="eastAsia" w:ascii="仿宋_GB2312" w:hAnsi="仿宋_GB2312" w:eastAsia="仿宋_GB2312" w:cs="仿宋_GB2312"/>
          <w:color w:val="auto"/>
          <w:sz w:val="24"/>
          <w:highlight w:val="none"/>
          <w:lang w:val="en-US" w:eastAsia="zh-CN"/>
        </w:rPr>
        <w:t>乙</w:t>
      </w:r>
      <w:r>
        <w:rPr>
          <w:rFonts w:hint="eastAsia" w:ascii="仿宋_GB2312" w:hAnsi="仿宋_GB2312" w:eastAsia="仿宋_GB2312" w:cs="仿宋_GB2312"/>
          <w:color w:val="auto"/>
          <w:sz w:val="24"/>
          <w:highlight w:val="none"/>
        </w:rPr>
        <w:t>方未在7天内按</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方选择的上述方式消除该质量缺陷，则</w:t>
      </w:r>
      <w:r>
        <w:rPr>
          <w:rFonts w:hint="eastAsia" w:ascii="仿宋_GB2312" w:hAnsi="仿宋_GB2312" w:eastAsia="仿宋_GB2312" w:cs="仿宋_GB2312"/>
          <w:color w:val="auto"/>
          <w:sz w:val="24"/>
          <w:highlight w:val="none"/>
          <w:lang w:val="en-US" w:eastAsia="zh-CN"/>
        </w:rPr>
        <w:t>甲</w:t>
      </w:r>
      <w:r>
        <w:rPr>
          <w:rFonts w:hint="eastAsia" w:ascii="仿宋_GB2312" w:hAnsi="仿宋_GB2312" w:eastAsia="仿宋_GB2312" w:cs="仿宋_GB2312"/>
          <w:color w:val="auto"/>
          <w:sz w:val="24"/>
          <w:highlight w:val="none"/>
        </w:rPr>
        <w:t>方可自行采取措施消除该质量缺陷，由此而产生的一切费用由</w:t>
      </w:r>
      <w:r>
        <w:rPr>
          <w:rFonts w:hint="eastAsia" w:ascii="仿宋_GB2312" w:hAnsi="仿宋_GB2312" w:eastAsia="仿宋_GB2312" w:cs="仿宋_GB2312"/>
          <w:color w:val="auto"/>
          <w:sz w:val="24"/>
          <w:highlight w:val="none"/>
          <w:lang w:val="en-US" w:eastAsia="zh-CN"/>
        </w:rPr>
        <w:t>乙</w:t>
      </w:r>
      <w:r>
        <w:rPr>
          <w:rFonts w:hint="eastAsia" w:ascii="仿宋_GB2312" w:hAnsi="仿宋_GB2312" w:eastAsia="仿宋_GB2312" w:cs="仿宋_GB2312"/>
          <w:color w:val="auto"/>
          <w:sz w:val="24"/>
          <w:highlight w:val="none"/>
        </w:rPr>
        <w:t>方承担</w:t>
      </w:r>
      <w:r>
        <w:rPr>
          <w:rFonts w:hint="eastAsia" w:ascii="仿宋_GB2312" w:hAnsi="仿宋_GB2312" w:eastAsia="仿宋_GB2312" w:cs="仿宋_GB2312"/>
          <w:color w:val="auto"/>
          <w:sz w:val="24"/>
          <w:highlight w:val="none"/>
          <w:lang w:val="en-US" w:eastAsia="zh-CN"/>
        </w:rPr>
        <w:t>并有权从应付货款中扣除</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③情节严重的，对乙方处以该批次不合格材料价款</w:t>
      </w:r>
      <w:r>
        <w:rPr>
          <w:rFonts w:hint="eastAsia" w:ascii="仿宋_GB2312" w:hAnsi="仿宋_GB2312" w:eastAsia="仿宋_GB2312" w:cs="仿宋_GB2312"/>
          <w:color w:val="auto"/>
          <w:sz w:val="24"/>
          <w:highlight w:val="none"/>
          <w:u w:val="none"/>
          <w:lang w:val="en-US" w:eastAsia="zh-CN"/>
        </w:rPr>
        <w:t xml:space="preserve"> 50% 至 300% </w:t>
      </w:r>
      <w:r>
        <w:rPr>
          <w:rFonts w:hint="eastAsia" w:ascii="仿宋_GB2312" w:hAnsi="仿宋_GB2312" w:eastAsia="仿宋_GB2312" w:cs="仿宋_GB2312"/>
          <w:color w:val="auto"/>
          <w:sz w:val="24"/>
          <w:highlight w:val="none"/>
          <w:lang w:val="en-US" w:eastAsia="zh-CN"/>
        </w:rPr>
        <w:t>的违约金。</w:t>
      </w:r>
    </w:p>
    <w:p w14:paraId="56B673BC">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 xml:space="preserve">4.5 质量保证期：乙方所供材料质量保证期为 </w:t>
      </w:r>
      <w:r>
        <w:rPr>
          <w:rFonts w:hint="eastAsia" w:ascii="仿宋_GB2312" w:hAnsi="仿宋_GB2312" w:eastAsia="仿宋_GB2312" w:cs="仿宋_GB2312"/>
          <w:color w:val="auto"/>
          <w:sz w:val="24"/>
          <w:highlight w:val="none"/>
          <w:u w:val="single"/>
          <w:lang w:val="en-US" w:eastAsia="zh-CN"/>
        </w:rPr>
        <w:t xml:space="preserve">  /  </w:t>
      </w:r>
      <w:r>
        <w:rPr>
          <w:rFonts w:hint="eastAsia" w:ascii="仿宋_GB2312" w:hAnsi="仿宋_GB2312" w:eastAsia="仿宋_GB2312" w:cs="仿宋_GB2312"/>
          <w:color w:val="auto"/>
          <w:sz w:val="24"/>
          <w:highlight w:val="none"/>
          <w:lang w:val="en-US" w:eastAsia="zh-CN"/>
        </w:rPr>
        <w:t>年，自最后一批次材料交付完毕并验收合格之日开始起算。</w:t>
      </w:r>
    </w:p>
    <w:p w14:paraId="157539F2">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五、结算与支付</w:t>
      </w:r>
    </w:p>
    <w:p w14:paraId="75705EC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5.1乙方每月</w:t>
      </w:r>
      <w:r>
        <w:rPr>
          <w:rFonts w:hint="eastAsia" w:ascii="仿宋_GB2312" w:hAnsi="仿宋_GB2312" w:eastAsia="仿宋_GB2312" w:cs="仿宋_GB2312"/>
          <w:color w:val="auto"/>
          <w:sz w:val="24"/>
          <w:highlight w:val="none"/>
          <w:lang w:val="en-US" w:eastAsia="zh-CN"/>
        </w:rPr>
        <w:t>5日前</w:t>
      </w:r>
      <w:r>
        <w:rPr>
          <w:rFonts w:hint="eastAsia" w:ascii="仿宋_GB2312" w:hAnsi="仿宋_GB2312" w:eastAsia="仿宋_GB2312" w:cs="仿宋_GB2312"/>
          <w:color w:val="auto"/>
          <w:sz w:val="24"/>
          <w:highlight w:val="none"/>
        </w:rPr>
        <w:t>凭甲方指定人员填写签认的有效《收料单》到甲方材料管理部门结算上</w:t>
      </w:r>
      <w:r>
        <w:rPr>
          <w:rFonts w:hint="eastAsia" w:ascii="仿宋_GB2312" w:hAnsi="仿宋_GB2312" w:eastAsia="仿宋_GB2312" w:cs="仿宋_GB2312"/>
          <w:color w:val="auto"/>
          <w:sz w:val="24"/>
          <w:highlight w:val="none"/>
          <w:lang w:eastAsia="zh-CN"/>
        </w:rPr>
        <w:t>个</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lang w:eastAsia="zh-CN"/>
        </w:rPr>
        <w:t>的</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w:t>
      </w:r>
      <w:r>
        <w:rPr>
          <w:rFonts w:hint="eastAsia" w:ascii="仿宋_GB2312" w:hAnsi="仿宋_GB2312" w:eastAsia="仿宋_GB2312" w:cs="仿宋_GB2312"/>
          <w:color w:val="auto"/>
          <w:sz w:val="24"/>
          <w:highlight w:val="none"/>
          <w:lang w:eastAsia="zh-CN"/>
        </w:rPr>
        <w:t>乙方在双方办理完月度结算后向甲方</w:t>
      </w:r>
      <w:r>
        <w:rPr>
          <w:rFonts w:hint="eastAsia" w:ascii="仿宋_GB2312" w:hAnsi="仿宋_GB2312" w:eastAsia="仿宋_GB2312" w:cs="仿宋_GB2312"/>
          <w:color w:val="auto"/>
          <w:sz w:val="24"/>
          <w:highlight w:val="none"/>
        </w:rPr>
        <w:t>提供已结算</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款总额的增值税专用发票。</w:t>
      </w:r>
    </w:p>
    <w:p w14:paraId="52D9FFD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r>
        <w:rPr>
          <w:rFonts w:hint="eastAsia" w:ascii="仿宋_GB2312" w:hAnsi="仿宋_GB2312" w:eastAsia="仿宋_GB2312" w:cs="仿宋_GB2312"/>
          <w:color w:val="auto"/>
          <w:sz w:val="24"/>
          <w:highlight w:val="none"/>
          <w:lang w:val="en-US" w:eastAsia="zh-CN"/>
        </w:rPr>
        <w:t>2</w:t>
      </w:r>
      <w:r>
        <w:rPr>
          <w:rFonts w:hint="eastAsia" w:ascii="仿宋_GB2312" w:hAnsi="仿宋_GB2312" w:eastAsia="仿宋_GB2312" w:cs="仿宋_GB2312"/>
          <w:color w:val="auto"/>
          <w:sz w:val="24"/>
          <w:highlight w:val="none"/>
        </w:rPr>
        <w:t>供货首月，双方就当月已验收合格的材料签字确认《月度供货对账单》（列明供货明细、数量、单价及实际货款金额），乙方按对账单金额开具合法、有效、等额的增值税专用发票后，甲方按双方确认的月度对账实际货款金额的 70% 支付。</w:t>
      </w:r>
    </w:p>
    <w:p w14:paraId="343A02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自供货第二个月起，双方按季度对已验收合格材料办理对账结算，签字确认《季度供货对账单》，作为付款唯一依据。乙方按本次申请付款金额开具合法、有效、等额的增值税专用发票后，甲方于下一季度内，支付双方核实确认上一季度实际货款金额的 70%；首月已支付</w:t>
      </w:r>
      <w:r>
        <w:rPr>
          <w:rFonts w:hint="eastAsia" w:ascii="仿宋_GB2312" w:hAnsi="仿宋_GB2312" w:eastAsia="仿宋_GB2312" w:cs="仿宋_GB2312"/>
          <w:color w:val="auto"/>
          <w:sz w:val="24"/>
          <w:highlight w:val="none"/>
          <w:lang w:val="en-US" w:eastAsia="zh-CN"/>
        </w:rPr>
        <w:t>货</w:t>
      </w:r>
      <w:r>
        <w:rPr>
          <w:rFonts w:hint="eastAsia" w:ascii="仿宋_GB2312" w:hAnsi="仿宋_GB2312" w:eastAsia="仿宋_GB2312" w:cs="仿宋_GB2312"/>
          <w:color w:val="auto"/>
          <w:sz w:val="24"/>
          <w:highlight w:val="none"/>
        </w:rPr>
        <w:t>款，在对应季度应付款中统一扣除，后续季度付款均按此规则依次执行。</w:t>
      </w:r>
    </w:p>
    <w:p w14:paraId="552258A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工程二次结构砌筑完工后，双方完成整体供货总结算并签字确认《供货总结算对账单》，乙方开具结算总额全额增值税专用发票后，甲方在 6 个月内支付至货款结算总额的 97%，已全部支付</w:t>
      </w:r>
      <w:r>
        <w:rPr>
          <w:rFonts w:hint="eastAsia" w:ascii="仿宋_GB2312" w:hAnsi="仿宋_GB2312" w:eastAsia="仿宋_GB2312" w:cs="仿宋_GB2312"/>
          <w:color w:val="auto"/>
          <w:sz w:val="24"/>
          <w:highlight w:val="none"/>
          <w:lang w:val="en-US" w:eastAsia="zh-CN"/>
        </w:rPr>
        <w:t>货</w:t>
      </w:r>
      <w:r>
        <w:rPr>
          <w:rFonts w:hint="eastAsia" w:ascii="仿宋_GB2312" w:hAnsi="仿宋_GB2312" w:eastAsia="仿宋_GB2312" w:cs="仿宋_GB2312"/>
          <w:color w:val="auto"/>
          <w:sz w:val="24"/>
          <w:highlight w:val="none"/>
        </w:rPr>
        <w:t>款予以抵扣。</w:t>
      </w:r>
    </w:p>
    <w:p w14:paraId="1ACA950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货款结算总额的 3% 作为质量保证金，待本工程整体竣工验收合格，且乙方完全履行质保相关义务后，甲方于一个月内无息全额付清质量保证金。</w:t>
      </w:r>
    </w:p>
    <w:p w14:paraId="0FEC96D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r>
        <w:rPr>
          <w:rFonts w:hint="eastAsia" w:ascii="仿宋_GB2312" w:hAnsi="仿宋_GB2312" w:eastAsia="仿宋_GB2312" w:cs="仿宋_GB2312"/>
          <w:color w:val="auto"/>
          <w:sz w:val="24"/>
          <w:highlight w:val="none"/>
          <w:lang w:val="en-US" w:eastAsia="zh-CN"/>
        </w:rPr>
        <w:t>3</w:t>
      </w:r>
      <w:r>
        <w:rPr>
          <w:rFonts w:hint="eastAsia" w:ascii="仿宋_GB2312" w:hAnsi="仿宋_GB2312" w:eastAsia="仿宋_GB2312" w:cs="仿宋_GB2312"/>
          <w:color w:val="auto"/>
          <w:sz w:val="24"/>
          <w:highlight w:val="none"/>
        </w:rPr>
        <w:t xml:space="preserve"> 所有</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款均通过转帐或电汇付至乙方银行帐户，乙方指定银行帐户为</w:t>
      </w:r>
    </w:p>
    <w:p w14:paraId="6D930C98">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rPr>
        <w:t>账户名称：</w:t>
      </w:r>
    </w:p>
    <w:p w14:paraId="2750C5D9">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rPr>
        <w:t>开户银行：</w:t>
      </w:r>
    </w:p>
    <w:p w14:paraId="7BD429BE">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账号：</w:t>
      </w:r>
    </w:p>
    <w:p w14:paraId="00A0A8D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乙方应当向甲方开具真实、合法、有效的增值税专用发票。发票信息要求如下：</w:t>
      </w:r>
    </w:p>
    <w:p w14:paraId="4B2CB5DF">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开票信息：</w:t>
      </w:r>
    </w:p>
    <w:p w14:paraId="7C16AFAB">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纳税人识别号 ：</w:t>
      </w:r>
    </w:p>
    <w:p w14:paraId="65F60999">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账号：</w:t>
      </w:r>
    </w:p>
    <w:p w14:paraId="05151E6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开户行：</w:t>
      </w:r>
    </w:p>
    <w:p w14:paraId="74F4984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地址：</w:t>
      </w:r>
      <w:r>
        <w:rPr>
          <w:rFonts w:hint="eastAsia" w:ascii="仿宋_GB2312" w:hAnsi="仿宋_GB2312" w:eastAsia="仿宋_GB2312" w:cs="仿宋_GB2312"/>
          <w:color w:val="auto"/>
          <w:sz w:val="24"/>
          <w:u w:val="single"/>
          <w:lang w:val="en-US" w:eastAsia="zh-CN"/>
        </w:rPr>
        <w:t>室</w:t>
      </w:r>
    </w:p>
    <w:p w14:paraId="36550A7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电话：</w:t>
      </w:r>
    </w:p>
    <w:p w14:paraId="39EE62B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u w:val="single"/>
          <w:lang w:val="en-US" w:eastAsia="zh-CN"/>
        </w:rPr>
      </w:pPr>
      <w:r>
        <w:rPr>
          <w:rFonts w:hint="eastAsia" w:ascii="仿宋_GB2312" w:hAnsi="仿宋_GB2312" w:eastAsia="仿宋_GB2312" w:cs="仿宋_GB2312"/>
          <w:color w:val="auto"/>
          <w:sz w:val="24"/>
          <w:highlight w:val="none"/>
          <w:u w:val="single"/>
          <w:lang w:val="en-US" w:eastAsia="zh-CN"/>
        </w:rPr>
        <w:t>发票备注信息：</w:t>
      </w:r>
    </w:p>
    <w:p w14:paraId="7422549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u w:val="single"/>
          <w:lang w:val="en-US" w:eastAsia="zh-CN"/>
        </w:rPr>
        <w:t xml:space="preserve">项目地址： </w:t>
      </w:r>
    </w:p>
    <w:p w14:paraId="28B1257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 xml:space="preserve"> 甲方在支付本合同项下每一笔</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前，乙方应当按照上述开票信息及要求开具增值税专用发票，乙方未按期开具或拒绝开具或所开具的发票不符合约定的，甲方有权延期付款，且不构成违约。因乙方增值税专用发票填写有误，造成甲方增值税抵扣损失的，由乙方全额赔偿甲方。</w:t>
      </w:r>
    </w:p>
    <w:p w14:paraId="5862465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5.5 当乙方应向甲方支付合同项下的违约金或赔偿金时，甲方有权从上述任何一笔应付款中予以直接扣除和（或）兑付履约保证金。</w:t>
      </w:r>
    </w:p>
    <w:p w14:paraId="52F96A29">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六、履约保证金</w:t>
      </w:r>
    </w:p>
    <w:p w14:paraId="42C2045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6.1履约保证金采用下列第（</w:t>
      </w:r>
      <w:r>
        <w:commentReference w:id="3"/>
      </w:r>
      <w:r>
        <w:rPr>
          <w:rFonts w:hint="eastAsia" w:ascii="仿宋_GB2312" w:hAnsi="仿宋_GB2312" w:eastAsia="仿宋_GB2312" w:cs="仿宋_GB2312"/>
          <w:color w:val="auto"/>
          <w:sz w:val="24"/>
          <w:highlight w:val="none"/>
          <w:lang w:val="en-US" w:eastAsia="zh-CN"/>
        </w:rPr>
        <w:t>①）种：</w:t>
      </w:r>
    </w:p>
    <w:p w14:paraId="5550D21E">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① 现金保证金：</w:t>
      </w:r>
      <w:r>
        <w:rPr>
          <w:rFonts w:hint="eastAsia" w:ascii="仿宋_GB2312" w:hAnsi="仿宋_GB2312" w:eastAsia="仿宋_GB2312" w:cs="仿宋_GB2312"/>
          <w:color w:val="auto"/>
          <w:sz w:val="24"/>
          <w:highlight w:val="none"/>
        </w:rPr>
        <w:t>合同签订前，乙方应向甲方缴纳￥</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元 （大写：</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）的履约保证金（现金），履约保证金缴纳的指定账户为：单位名称：</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开户银行：</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账号：</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。履约保证金剩余款项在合同履行完毕且无任何遗留问题后无息退还乙方。</w:t>
      </w:r>
    </w:p>
    <w:p w14:paraId="400760C4">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② 履约保函：合同签订前，乙方向甲方提交合同金额 5 %，即   /   元（大写：     /    ）的见索即付的履约担保函，履约担保函由具有独立法人资格和偿付能力的机构出具。</w:t>
      </w:r>
    </w:p>
    <w:p w14:paraId="0F66F49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u w:val="none"/>
          <w:lang w:val="en-US" w:eastAsia="zh-CN"/>
        </w:rPr>
      </w:pPr>
      <w:r>
        <w:rPr>
          <w:rFonts w:hint="eastAsia" w:ascii="仿宋_GB2312" w:hAnsi="仿宋_GB2312" w:eastAsia="仿宋_GB2312" w:cs="仿宋_GB2312"/>
          <w:color w:val="auto"/>
          <w:sz w:val="24"/>
          <w:highlight w:val="none"/>
          <w:lang w:val="en-US" w:eastAsia="zh-CN"/>
        </w:rPr>
        <w:t>乙方应保证保函（一般保函具有独立法人资格和偿付能力的机构）有效期在项目出具竣工验收报告后30天内。</w:t>
      </w:r>
    </w:p>
    <w:p w14:paraId="7AE9534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lang w:val="en-US" w:eastAsia="zh-CN"/>
        </w:rPr>
        <w:t>③ 无履约保证金。</w:t>
      </w:r>
    </w:p>
    <w:p w14:paraId="5CF15E6F">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6.2 若乙方未按合同约定履行合同或实施欺诈行为（包括但不限于质量不符、数量短缺、冒充品牌等），甲方有权没收乙方履约保证金。若乙方上述行为对甲方或第三方造成损失，还应当赔偿所有损失，相关违约责任按照本合同执行。</w:t>
      </w:r>
    </w:p>
    <w:p w14:paraId="60F35A0C">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七、违约责任</w:t>
      </w:r>
    </w:p>
    <w:p w14:paraId="79107C4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 w:val="0"/>
          <w:bCs w:val="0"/>
          <w:i w:val="0"/>
          <w:iCs w:val="0"/>
          <w:color w:val="auto"/>
          <w:sz w:val="24"/>
          <w:highlight w:val="none"/>
        </w:rPr>
      </w:pPr>
      <w:r>
        <w:rPr>
          <w:rFonts w:hint="eastAsia" w:ascii="仿宋_GB2312" w:hAnsi="仿宋_GB2312" w:eastAsia="仿宋_GB2312" w:cs="仿宋_GB2312"/>
          <w:i w:val="0"/>
          <w:iCs w:val="0"/>
          <w:color w:val="auto"/>
          <w:sz w:val="24"/>
          <w:highlight w:val="none"/>
        </w:rPr>
        <w:t xml:space="preserve">7.1 </w:t>
      </w:r>
      <w:r>
        <w:rPr>
          <w:rFonts w:hint="eastAsia" w:ascii="仿宋_GB2312" w:hAnsi="仿宋_GB2312" w:eastAsia="仿宋_GB2312" w:cs="仿宋_GB2312"/>
          <w:b w:val="0"/>
          <w:bCs w:val="0"/>
          <w:i w:val="0"/>
          <w:iCs w:val="0"/>
          <w:color w:val="auto"/>
          <w:sz w:val="24"/>
          <w:highlight w:val="none"/>
        </w:rPr>
        <w:t>甲方因自身原因逾期支付</w:t>
      </w:r>
      <w:r>
        <w:rPr>
          <w:rFonts w:hint="eastAsia" w:ascii="仿宋_GB2312" w:hAnsi="仿宋_GB2312" w:eastAsia="仿宋_GB2312" w:cs="仿宋_GB2312"/>
          <w:b w:val="0"/>
          <w:bCs w:val="0"/>
          <w:i w:val="0"/>
          <w:iCs w:val="0"/>
          <w:color w:val="auto"/>
          <w:sz w:val="24"/>
          <w:highlight w:val="none"/>
          <w:lang w:val="en-US" w:eastAsia="zh-CN"/>
        </w:rPr>
        <w:t>材料</w:t>
      </w:r>
      <w:r>
        <w:rPr>
          <w:rFonts w:hint="eastAsia" w:ascii="仿宋_GB2312" w:hAnsi="仿宋_GB2312" w:eastAsia="仿宋_GB2312" w:cs="仿宋_GB2312"/>
          <w:b w:val="0"/>
          <w:bCs w:val="0"/>
          <w:i w:val="0"/>
          <w:iCs w:val="0"/>
          <w:color w:val="auto"/>
          <w:sz w:val="24"/>
          <w:highlight w:val="none"/>
        </w:rPr>
        <w:t>款的，</w:t>
      </w:r>
      <w:r>
        <w:rPr>
          <w:rFonts w:hint="eastAsia" w:ascii="仿宋_GB2312" w:hAnsi="仿宋_GB2312" w:eastAsia="仿宋_GB2312" w:cs="仿宋_GB2312"/>
          <w:b w:val="0"/>
          <w:bCs w:val="0"/>
          <w:i w:val="0"/>
          <w:iCs w:val="0"/>
          <w:color w:val="auto"/>
          <w:sz w:val="24"/>
          <w:highlight w:val="none"/>
          <w:lang w:val="en-US" w:eastAsia="zh-CN"/>
        </w:rPr>
        <w:t>乙方给予甲方35天宽限期，宽限期届满仍未付款的，则从宽限期届满之日起</w:t>
      </w:r>
      <w:r>
        <w:rPr>
          <w:rFonts w:hint="eastAsia" w:ascii="仿宋_GB2312" w:hAnsi="仿宋_GB2312" w:eastAsia="仿宋_GB2312" w:cs="仿宋_GB2312"/>
          <w:b w:val="0"/>
          <w:bCs w:val="0"/>
          <w:i w:val="0"/>
          <w:iCs w:val="0"/>
          <w:color w:val="auto"/>
          <w:sz w:val="24"/>
          <w:highlight w:val="none"/>
        </w:rPr>
        <w:t>以逾期未付</w:t>
      </w:r>
      <w:r>
        <w:rPr>
          <w:rFonts w:hint="eastAsia" w:ascii="仿宋_GB2312" w:hAnsi="仿宋_GB2312" w:eastAsia="仿宋_GB2312" w:cs="仿宋_GB2312"/>
          <w:b w:val="0"/>
          <w:bCs w:val="0"/>
          <w:i w:val="0"/>
          <w:iCs w:val="0"/>
          <w:color w:val="auto"/>
          <w:sz w:val="24"/>
          <w:highlight w:val="none"/>
          <w:lang w:val="en-US" w:eastAsia="zh-CN"/>
        </w:rPr>
        <w:t>本金</w:t>
      </w:r>
      <w:r>
        <w:rPr>
          <w:rFonts w:hint="eastAsia" w:ascii="仿宋_GB2312" w:hAnsi="仿宋_GB2312" w:eastAsia="仿宋_GB2312" w:cs="仿宋_GB2312"/>
          <w:b w:val="0"/>
          <w:bCs w:val="0"/>
          <w:i w:val="0"/>
          <w:iCs w:val="0"/>
          <w:color w:val="auto"/>
          <w:sz w:val="24"/>
          <w:highlight w:val="none"/>
        </w:rPr>
        <w:t>金额为基础按合同签订时中国人民银行授权全国银行间同业拆借中心公布的一年期贷款市场报价利率（LPR）为标准，向乙方支付违约金</w:t>
      </w:r>
      <w:r>
        <w:rPr>
          <w:rFonts w:hint="eastAsia" w:ascii="仿宋_GB2312" w:hAnsi="仿宋_GB2312" w:eastAsia="仿宋_GB2312" w:cs="仿宋_GB2312"/>
          <w:b w:val="0"/>
          <w:bCs w:val="0"/>
          <w:i w:val="0"/>
          <w:iCs w:val="0"/>
          <w:color w:val="auto"/>
          <w:sz w:val="24"/>
          <w:highlight w:val="none"/>
          <w:lang w:eastAsia="zh-CN"/>
        </w:rPr>
        <w:t>（</w:t>
      </w:r>
      <w:r>
        <w:rPr>
          <w:rFonts w:hint="eastAsia" w:ascii="仿宋_GB2312" w:hAnsi="仿宋_GB2312" w:eastAsia="仿宋_GB2312" w:cs="仿宋_GB2312"/>
          <w:b w:val="0"/>
          <w:bCs w:val="0"/>
          <w:i w:val="0"/>
          <w:iCs w:val="0"/>
          <w:color w:val="auto"/>
          <w:sz w:val="24"/>
          <w:highlight w:val="none"/>
          <w:lang w:val="en-US" w:eastAsia="zh-CN"/>
        </w:rPr>
        <w:t>含资金占用利息</w:t>
      </w:r>
      <w:r>
        <w:rPr>
          <w:rFonts w:hint="eastAsia" w:ascii="仿宋_GB2312" w:hAnsi="仿宋_GB2312" w:eastAsia="仿宋_GB2312" w:cs="仿宋_GB2312"/>
          <w:b w:val="0"/>
          <w:bCs w:val="0"/>
          <w:i w:val="0"/>
          <w:iCs w:val="0"/>
          <w:color w:val="auto"/>
          <w:sz w:val="24"/>
          <w:highlight w:val="none"/>
          <w:lang w:eastAsia="zh-CN"/>
        </w:rPr>
        <w:t>）</w:t>
      </w:r>
      <w:r>
        <w:rPr>
          <w:rFonts w:hint="eastAsia" w:ascii="仿宋_GB2312" w:hAnsi="仿宋_GB2312" w:eastAsia="仿宋_GB2312" w:cs="仿宋_GB2312"/>
          <w:b w:val="0"/>
          <w:bCs w:val="0"/>
          <w:i w:val="0"/>
          <w:iCs w:val="0"/>
          <w:color w:val="auto"/>
          <w:sz w:val="24"/>
          <w:highlight w:val="none"/>
        </w:rPr>
        <w:t>。在甲方支付欠付</w:t>
      </w:r>
      <w:r>
        <w:rPr>
          <w:rFonts w:hint="eastAsia" w:ascii="仿宋_GB2312" w:hAnsi="仿宋_GB2312" w:eastAsia="仿宋_GB2312" w:cs="仿宋_GB2312"/>
          <w:b w:val="0"/>
          <w:bCs w:val="0"/>
          <w:i w:val="0"/>
          <w:iCs w:val="0"/>
          <w:color w:val="auto"/>
          <w:sz w:val="24"/>
          <w:highlight w:val="none"/>
          <w:lang w:val="en-US" w:eastAsia="zh-CN"/>
        </w:rPr>
        <w:t>材料</w:t>
      </w:r>
      <w:r>
        <w:rPr>
          <w:rFonts w:hint="eastAsia" w:ascii="仿宋_GB2312" w:hAnsi="仿宋_GB2312" w:eastAsia="仿宋_GB2312" w:cs="仿宋_GB2312"/>
          <w:b w:val="0"/>
          <w:bCs w:val="0"/>
          <w:i w:val="0"/>
          <w:iCs w:val="0"/>
          <w:color w:val="auto"/>
          <w:sz w:val="24"/>
          <w:highlight w:val="none"/>
        </w:rPr>
        <w:t>款的当天，乙方未书面主张该欠付</w:t>
      </w:r>
      <w:r>
        <w:rPr>
          <w:rFonts w:hint="eastAsia" w:ascii="仿宋_GB2312" w:hAnsi="仿宋_GB2312" w:eastAsia="仿宋_GB2312" w:cs="仿宋_GB2312"/>
          <w:b w:val="0"/>
          <w:bCs w:val="0"/>
          <w:i w:val="0"/>
          <w:iCs w:val="0"/>
          <w:color w:val="auto"/>
          <w:sz w:val="24"/>
          <w:highlight w:val="none"/>
          <w:lang w:val="en-US" w:eastAsia="zh-CN"/>
        </w:rPr>
        <w:t>材料</w:t>
      </w:r>
      <w:r>
        <w:rPr>
          <w:rFonts w:hint="eastAsia" w:ascii="仿宋_GB2312" w:hAnsi="仿宋_GB2312" w:eastAsia="仿宋_GB2312" w:cs="仿宋_GB2312"/>
          <w:b w:val="0"/>
          <w:bCs w:val="0"/>
          <w:i w:val="0"/>
          <w:iCs w:val="0"/>
          <w:color w:val="auto"/>
          <w:sz w:val="24"/>
          <w:highlight w:val="none"/>
        </w:rPr>
        <w:t>款</w:t>
      </w:r>
      <w:bookmarkStart w:id="0" w:name="_GoBack"/>
      <w:bookmarkEnd w:id="0"/>
      <w:r>
        <w:rPr>
          <w:rFonts w:hint="eastAsia" w:ascii="仿宋_GB2312" w:hAnsi="仿宋_GB2312" w:eastAsia="仿宋_GB2312" w:cs="仿宋_GB2312"/>
          <w:b w:val="0"/>
          <w:bCs w:val="0"/>
          <w:i w:val="0"/>
          <w:iCs w:val="0"/>
          <w:color w:val="auto"/>
          <w:sz w:val="24"/>
          <w:highlight w:val="none"/>
        </w:rPr>
        <w:t>违约金的，则视为乙方放弃要求甲方承担因欠付款</w:t>
      </w:r>
      <w:r>
        <w:rPr>
          <w:rFonts w:hint="eastAsia" w:ascii="仿宋_GB2312" w:hAnsi="仿宋_GB2312" w:eastAsia="仿宋_GB2312" w:cs="仿宋_GB2312"/>
          <w:b w:val="0"/>
          <w:bCs w:val="0"/>
          <w:i w:val="0"/>
          <w:iCs w:val="0"/>
          <w:color w:val="auto"/>
          <w:sz w:val="24"/>
          <w:highlight w:val="none"/>
          <w:lang w:val="en-US" w:eastAsia="zh-CN"/>
        </w:rPr>
        <w:t>项</w:t>
      </w:r>
      <w:r>
        <w:rPr>
          <w:rFonts w:hint="eastAsia" w:ascii="仿宋_GB2312" w:hAnsi="仿宋_GB2312" w:eastAsia="仿宋_GB2312" w:cs="仿宋_GB2312"/>
          <w:b w:val="0"/>
          <w:bCs w:val="0"/>
          <w:i w:val="0"/>
          <w:iCs w:val="0"/>
          <w:color w:val="auto"/>
          <w:sz w:val="24"/>
          <w:highlight w:val="none"/>
        </w:rPr>
        <w:t>产生的违约责任。</w:t>
      </w:r>
    </w:p>
    <w:p w14:paraId="22A5295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color w:val="auto"/>
          <w:sz w:val="24"/>
          <w:highlight w:val="none"/>
        </w:rPr>
      </w:pPr>
      <w:r>
        <w:rPr>
          <w:rFonts w:hint="eastAsia" w:ascii="仿宋_GB2312" w:hAnsi="仿宋_GB2312" w:eastAsia="仿宋_GB2312" w:cs="仿宋_GB2312"/>
          <w:i w:val="0"/>
          <w:iCs w:val="0"/>
          <w:color w:val="auto"/>
          <w:sz w:val="24"/>
          <w:highlight w:val="none"/>
        </w:rPr>
        <w:t>7.2 若乙方不能按时提供符合合同要求的材料，应按</w:t>
      </w:r>
      <w:r>
        <w:rPr>
          <w:rFonts w:hint="eastAsia" w:ascii="仿宋_GB2312" w:hAnsi="仿宋_GB2312" w:eastAsia="仿宋_GB2312" w:cs="仿宋_GB2312"/>
          <w:i w:val="0"/>
          <w:iCs w:val="0"/>
          <w:color w:val="auto"/>
          <w:sz w:val="24"/>
          <w:highlight w:val="none"/>
          <w:u w:val="single"/>
          <w:lang w:val="en-US" w:eastAsia="zh-CN"/>
        </w:rPr>
        <w:t>5000</w:t>
      </w:r>
      <w:r>
        <w:rPr>
          <w:rFonts w:hint="eastAsia" w:ascii="仿宋_GB2312" w:hAnsi="仿宋_GB2312" w:eastAsia="仿宋_GB2312" w:cs="仿宋_GB2312"/>
          <w:i w:val="0"/>
          <w:iCs w:val="0"/>
          <w:color w:val="auto"/>
          <w:sz w:val="24"/>
          <w:highlight w:val="none"/>
          <w:u w:val="single"/>
        </w:rPr>
        <w:t>元/天</w:t>
      </w:r>
      <w:r>
        <w:rPr>
          <w:rFonts w:hint="eastAsia" w:ascii="仿宋_GB2312" w:hAnsi="仿宋_GB2312" w:eastAsia="仿宋_GB2312" w:cs="仿宋_GB2312"/>
          <w:i w:val="0"/>
          <w:iCs w:val="0"/>
          <w:color w:val="auto"/>
          <w:sz w:val="24"/>
          <w:highlight w:val="none"/>
          <w:u w:val="none"/>
        </w:rPr>
        <w:t>向甲方</w:t>
      </w:r>
      <w:r>
        <w:rPr>
          <w:rFonts w:hint="eastAsia" w:ascii="仿宋_GB2312" w:hAnsi="仿宋_GB2312" w:eastAsia="仿宋_GB2312" w:cs="仿宋_GB2312"/>
          <w:i w:val="0"/>
          <w:iCs w:val="0"/>
          <w:color w:val="auto"/>
          <w:sz w:val="24"/>
          <w:highlight w:val="none"/>
        </w:rPr>
        <w:t>支付违约金，并赔偿由此给甲方造成的窝工人工费、设备租赁费、工期延误等直间接损失。经甲方催告后乙方仍无法在要求期限内交货的，甲方有权单方面终止合同，并要求乙方承担因延迟提供材料或提供不合格材料给甲方造成的一切损失</w:t>
      </w:r>
      <w:r>
        <w:rPr>
          <w:rFonts w:hint="eastAsia" w:ascii="仿宋_GB2312" w:hAnsi="仿宋_GB2312" w:eastAsia="仿宋_GB2312" w:cs="仿宋_GB2312"/>
          <w:i w:val="0"/>
          <w:iCs w:val="0"/>
          <w:color w:val="auto"/>
          <w:sz w:val="24"/>
          <w:highlight w:val="none"/>
          <w:lang w:eastAsia="zh-CN"/>
        </w:rPr>
        <w:t>。</w:t>
      </w:r>
    </w:p>
    <w:p w14:paraId="373DA7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color w:val="auto"/>
          <w:sz w:val="24"/>
          <w:highlight w:val="none"/>
        </w:rPr>
      </w:pPr>
      <w:r>
        <w:rPr>
          <w:rFonts w:hint="eastAsia" w:ascii="仿宋_GB2312" w:hAnsi="仿宋_GB2312" w:eastAsia="仿宋_GB2312" w:cs="仿宋_GB2312"/>
          <w:i w:val="0"/>
          <w:iCs w:val="0"/>
          <w:color w:val="auto"/>
          <w:sz w:val="24"/>
          <w:highlight w:val="none"/>
        </w:rPr>
        <w:t>7.</w:t>
      </w:r>
      <w:r>
        <w:rPr>
          <w:rFonts w:hint="eastAsia" w:ascii="仿宋_GB2312" w:hAnsi="仿宋_GB2312" w:eastAsia="仿宋_GB2312" w:cs="仿宋_GB2312"/>
          <w:i w:val="0"/>
          <w:iCs w:val="0"/>
          <w:color w:val="auto"/>
          <w:sz w:val="24"/>
          <w:highlight w:val="none"/>
          <w:lang w:val="en-US" w:eastAsia="zh-CN"/>
        </w:rPr>
        <w:t>3</w:t>
      </w:r>
      <w:r>
        <w:rPr>
          <w:rFonts w:hint="eastAsia" w:ascii="仿宋_GB2312" w:hAnsi="仿宋_GB2312" w:eastAsia="仿宋_GB2312" w:cs="仿宋_GB2312"/>
          <w:i w:val="0"/>
          <w:iCs w:val="0"/>
          <w:color w:val="auto"/>
          <w:sz w:val="24"/>
          <w:highlight w:val="none"/>
        </w:rPr>
        <w:t xml:space="preserve"> 如因乙方提供的产品（某车或某批次）质量不符合合同要求造成构造物或结构物质量不合格引起甲方工程返工，甲方有权利单方面终止合同，并要求乙方承担由此给甲方造成的所有损失。</w:t>
      </w:r>
    </w:p>
    <w:p w14:paraId="3EEC456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color w:val="auto"/>
          <w:sz w:val="24"/>
          <w:highlight w:val="none"/>
        </w:rPr>
      </w:pPr>
      <w:r>
        <w:rPr>
          <w:rFonts w:hint="eastAsia" w:ascii="仿宋_GB2312" w:hAnsi="仿宋_GB2312" w:eastAsia="仿宋_GB2312" w:cs="仿宋_GB2312"/>
          <w:i w:val="0"/>
          <w:iCs w:val="0"/>
          <w:color w:val="auto"/>
          <w:sz w:val="24"/>
          <w:highlight w:val="none"/>
        </w:rPr>
        <w:t>7.</w:t>
      </w:r>
      <w:r>
        <w:rPr>
          <w:rFonts w:hint="eastAsia" w:ascii="仿宋_GB2312" w:hAnsi="仿宋_GB2312" w:eastAsia="仿宋_GB2312" w:cs="仿宋_GB2312"/>
          <w:i w:val="0"/>
          <w:iCs w:val="0"/>
          <w:color w:val="auto"/>
          <w:sz w:val="24"/>
          <w:highlight w:val="none"/>
          <w:lang w:val="en-US" w:eastAsia="zh-CN"/>
        </w:rPr>
        <w:t>4</w:t>
      </w:r>
      <w:r>
        <w:rPr>
          <w:rFonts w:hint="eastAsia" w:ascii="仿宋_GB2312" w:hAnsi="仿宋_GB2312" w:eastAsia="仿宋_GB2312" w:cs="仿宋_GB2312"/>
          <w:i w:val="0"/>
          <w:iCs w:val="0"/>
          <w:color w:val="auto"/>
          <w:sz w:val="24"/>
          <w:highlight w:val="none"/>
        </w:rPr>
        <w:t xml:space="preserve"> 若乙方未经甲方、甲方监理及业主同意，擅自更改合同约定的产品品牌、规格等情形视为乙方违约，甲方有权利单方</w:t>
      </w:r>
      <w:r>
        <w:rPr>
          <w:rFonts w:hint="eastAsia" w:ascii="仿宋_GB2312" w:hAnsi="仿宋_GB2312" w:eastAsia="仿宋_GB2312" w:cs="仿宋_GB2312"/>
          <w:i w:val="0"/>
          <w:iCs w:val="0"/>
          <w:color w:val="auto"/>
          <w:sz w:val="24"/>
          <w:highlight w:val="none"/>
          <w:lang w:val="en-US" w:eastAsia="zh-CN"/>
        </w:rPr>
        <w:t>解除</w:t>
      </w:r>
      <w:r>
        <w:rPr>
          <w:rFonts w:hint="eastAsia" w:ascii="仿宋_GB2312" w:hAnsi="仿宋_GB2312" w:eastAsia="仿宋_GB2312" w:cs="仿宋_GB2312"/>
          <w:i w:val="0"/>
          <w:iCs w:val="0"/>
          <w:color w:val="auto"/>
          <w:sz w:val="24"/>
          <w:highlight w:val="none"/>
        </w:rPr>
        <w:t>合同，并要求乙方承担违约责任</w:t>
      </w:r>
      <w:r>
        <w:rPr>
          <w:rFonts w:hint="eastAsia" w:ascii="仿宋_GB2312" w:hAnsi="仿宋_GB2312" w:eastAsia="仿宋_GB2312" w:cs="仿宋_GB2312"/>
          <w:i w:val="0"/>
          <w:iCs w:val="0"/>
          <w:color w:val="auto"/>
          <w:sz w:val="24"/>
          <w:highlight w:val="none"/>
          <w:lang w:eastAsia="zh-CN"/>
        </w:rPr>
        <w:t>、</w:t>
      </w:r>
      <w:r>
        <w:rPr>
          <w:rFonts w:hint="eastAsia" w:ascii="仿宋_GB2312" w:hAnsi="仿宋_GB2312" w:eastAsia="仿宋_GB2312" w:cs="仿宋_GB2312"/>
          <w:i w:val="0"/>
          <w:iCs w:val="0"/>
          <w:color w:val="auto"/>
          <w:sz w:val="24"/>
          <w:highlight w:val="none"/>
          <w:lang w:val="en-US" w:eastAsia="zh-CN"/>
        </w:rPr>
        <w:t>赔偿甲方损失</w:t>
      </w:r>
      <w:r>
        <w:rPr>
          <w:rFonts w:hint="eastAsia" w:ascii="仿宋_GB2312" w:hAnsi="仿宋_GB2312" w:eastAsia="仿宋_GB2312" w:cs="仿宋_GB2312"/>
          <w:i w:val="0"/>
          <w:iCs w:val="0"/>
          <w:color w:val="auto"/>
          <w:sz w:val="24"/>
          <w:highlight w:val="none"/>
        </w:rPr>
        <w:t>。</w:t>
      </w:r>
    </w:p>
    <w:p w14:paraId="0644D07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color w:val="auto"/>
          <w:sz w:val="24"/>
          <w:highlight w:val="none"/>
          <w:lang w:val="en-US" w:eastAsia="zh-CN"/>
        </w:rPr>
      </w:pPr>
      <w:r>
        <w:rPr>
          <w:rFonts w:hint="eastAsia" w:ascii="仿宋_GB2312" w:hAnsi="仿宋_GB2312" w:eastAsia="仿宋_GB2312" w:cs="仿宋_GB2312"/>
          <w:i w:val="0"/>
          <w:iCs w:val="0"/>
          <w:color w:val="auto"/>
          <w:sz w:val="24"/>
          <w:highlight w:val="none"/>
          <w:lang w:val="en-US" w:eastAsia="zh-CN"/>
        </w:rPr>
        <w:t>7.5 乙方应妥善处理对外债权债务关系，保证甲方不因签订或履行本合同而被第三方提起诉讼/仲裁/投诉/信访；乙方未经甲方书面同意不得将本合同项下权利义务（含债权）转让给第三方，否则视为乙方违约，甲方有权解除本合同，并要求乙方承担本合同金额</w:t>
      </w:r>
      <w:r>
        <w:rPr>
          <w:rFonts w:hint="eastAsia" w:ascii="仿宋_GB2312" w:hAnsi="仿宋_GB2312" w:eastAsia="仿宋_GB2312" w:cs="仿宋_GB2312"/>
          <w:i w:val="0"/>
          <w:iCs w:val="0"/>
          <w:color w:val="auto"/>
          <w:sz w:val="24"/>
          <w:highlight w:val="none"/>
          <w:u w:val="single"/>
          <w:lang w:val="en-US" w:eastAsia="zh-CN"/>
        </w:rPr>
        <w:t>10%</w:t>
      </w:r>
      <w:r>
        <w:rPr>
          <w:rFonts w:hint="eastAsia" w:ascii="仿宋_GB2312" w:hAnsi="仿宋_GB2312" w:eastAsia="仿宋_GB2312" w:cs="仿宋_GB2312"/>
          <w:i w:val="0"/>
          <w:iCs w:val="0"/>
          <w:color w:val="auto"/>
          <w:sz w:val="24"/>
          <w:highlight w:val="none"/>
          <w:lang w:val="en-US" w:eastAsia="zh-CN"/>
        </w:rPr>
        <w:t>的违约金。</w:t>
      </w:r>
    </w:p>
    <w:p w14:paraId="496517B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i w:val="0"/>
          <w:iCs w:val="0"/>
          <w:color w:val="auto"/>
          <w:sz w:val="24"/>
          <w:highlight w:val="none"/>
        </w:rPr>
      </w:pPr>
      <w:r>
        <w:rPr>
          <w:rFonts w:hint="eastAsia" w:ascii="仿宋_GB2312" w:hAnsi="仿宋_GB2312" w:eastAsia="仿宋_GB2312" w:cs="仿宋_GB2312"/>
          <w:i w:val="0"/>
          <w:iCs w:val="0"/>
          <w:color w:val="auto"/>
          <w:sz w:val="24"/>
          <w:highlight w:val="none"/>
          <w:lang w:val="en-US" w:eastAsia="zh-CN"/>
        </w:rPr>
        <w:t>7.6 本合同所称的甲方的损失包括但不限于甲方向第三方采购价款与本合同价款的差额、人工机械窝工损失、返工损失、工期延误损失、处罚等直接间接损失</w:t>
      </w:r>
      <w:r>
        <w:rPr>
          <w:rFonts w:hint="eastAsia" w:ascii="仿宋_GB2312" w:hAnsi="仿宋_GB2312" w:eastAsia="仿宋_GB2312" w:cs="仿宋_GB2312"/>
          <w:i w:val="0"/>
          <w:iCs w:val="0"/>
          <w:color w:val="auto"/>
          <w:sz w:val="24"/>
          <w:highlight w:val="none"/>
        </w:rPr>
        <w:t>。</w:t>
      </w:r>
    </w:p>
    <w:p w14:paraId="23D90EDE">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i w:val="0"/>
          <w:iCs w:val="0"/>
          <w:color w:val="auto"/>
          <w:sz w:val="24"/>
          <w:highlight w:val="none"/>
          <w:lang w:val="en-US" w:eastAsia="zh-CN"/>
        </w:rPr>
      </w:pPr>
      <w:r>
        <w:rPr>
          <w:rFonts w:hint="eastAsia" w:ascii="仿宋_GB2312" w:hAnsi="仿宋_GB2312" w:eastAsia="仿宋_GB2312" w:cs="仿宋_GB2312"/>
          <w:i w:val="0"/>
          <w:iCs w:val="0"/>
          <w:color w:val="auto"/>
          <w:sz w:val="24"/>
          <w:highlight w:val="none"/>
          <w:lang w:val="en-US" w:eastAsia="zh-CN"/>
        </w:rPr>
        <w:t>7.7 因乙方上述违约行为导致甲方解除合同的，乙方应当按本合同总价的</w:t>
      </w:r>
      <w:r>
        <w:rPr>
          <w:rFonts w:hint="eastAsia" w:ascii="仿宋_GB2312" w:hAnsi="仿宋_GB2312" w:eastAsia="仿宋_GB2312" w:cs="仿宋_GB2312"/>
          <w:i w:val="0"/>
          <w:iCs w:val="0"/>
          <w:color w:val="auto"/>
          <w:sz w:val="24"/>
          <w:highlight w:val="none"/>
          <w:u w:val="single"/>
          <w:lang w:val="en-US" w:eastAsia="zh-CN"/>
        </w:rPr>
        <w:t>10%</w:t>
      </w:r>
      <w:r>
        <w:rPr>
          <w:rFonts w:hint="eastAsia" w:ascii="仿宋_GB2312" w:hAnsi="仿宋_GB2312" w:eastAsia="仿宋_GB2312" w:cs="仿宋_GB2312"/>
          <w:i w:val="0"/>
          <w:iCs w:val="0"/>
          <w:color w:val="auto"/>
          <w:sz w:val="24"/>
          <w:highlight w:val="none"/>
          <w:lang w:val="en-US" w:eastAsia="zh-CN"/>
        </w:rPr>
        <w:t>向甲方支付违约金。</w:t>
      </w:r>
    </w:p>
    <w:p w14:paraId="7EF88FD7">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t>八、不可抗力</w:t>
      </w:r>
    </w:p>
    <w:p w14:paraId="371B6C2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4"/>
          <w:highlight w:val="none"/>
        </w:rPr>
        <w:t>8.1 甲方或乙方因不可抗力不能履行合同的，</w:t>
      </w:r>
      <w:r>
        <w:rPr>
          <w:rFonts w:hint="eastAsia" w:ascii="仿宋_GB2312" w:hAnsi="仿宋_GB2312" w:eastAsia="仿宋_GB2312" w:cs="仿宋_GB2312"/>
          <w:color w:val="auto"/>
          <w:sz w:val="24"/>
          <w:szCs w:val="24"/>
          <w:highlight w:val="none"/>
        </w:rPr>
        <w:t>根据不可抗力的影响范围，部分或者全部免除责任。但一方迟延履行后发生不可抗力的，不免除其</w:t>
      </w:r>
      <w:r>
        <w:rPr>
          <w:rFonts w:hint="eastAsia" w:ascii="仿宋_GB2312" w:hAnsi="仿宋_GB2312" w:eastAsia="仿宋_GB2312" w:cs="仿宋_GB2312"/>
          <w:color w:val="auto"/>
          <w:sz w:val="24"/>
          <w:szCs w:val="24"/>
          <w:highlight w:val="none"/>
          <w:lang w:eastAsia="zh-CN"/>
        </w:rPr>
        <w:t>非因不可抗力导致的</w:t>
      </w:r>
      <w:r>
        <w:rPr>
          <w:rFonts w:hint="eastAsia" w:ascii="仿宋_GB2312" w:hAnsi="仿宋_GB2312" w:eastAsia="仿宋_GB2312" w:cs="仿宋_GB2312"/>
          <w:color w:val="auto"/>
          <w:sz w:val="24"/>
          <w:szCs w:val="24"/>
          <w:highlight w:val="none"/>
        </w:rPr>
        <w:t>违约责任。</w:t>
      </w:r>
    </w:p>
    <w:p w14:paraId="5343FD5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8.2 一方如因不可抗力无法履行合同时，应及时通知另一方并在不可抗力结束后合理期限内向另一方提交发生不可抗力的充分而有效的证明，否则，不能免除相应责任。不可抗力发生后，任何一方均应采取有效措施将损失减少到最低限度，任何一方当事人能够采取但没有采取有效措施导致损失扩大的，应对扩大的损失承担责任。</w:t>
      </w:r>
    </w:p>
    <w:p w14:paraId="4B34CE9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8.3 本合同所称不可抗力指不可预见、不能避免并不能克服的客观情况，包括地震、泥石流、战争、动乱、空中飞行物体坠落或其他非需方或供方责任造成的爆炸、火灾。</w:t>
      </w:r>
    </w:p>
    <w:p w14:paraId="37AF811B">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sz w:val="24"/>
          <w:highlight w:val="none"/>
        </w:rPr>
        <w:t>九、合同解除</w:t>
      </w:r>
    </w:p>
    <w:p w14:paraId="1CB0B50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9.1 甲乙双方协商一致，可以解除合同。</w:t>
      </w:r>
    </w:p>
    <w:p w14:paraId="325DB7D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9.2 因不可抗力致使合同无法履行的，甲乙双方可以解除合同。</w:t>
      </w:r>
    </w:p>
    <w:p w14:paraId="5DC3B62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 有下列情形之一，甲方有权单方解除合同，并要求乙方承担违约责任：</w:t>
      </w:r>
    </w:p>
    <w:p w14:paraId="2B6816E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9.3.1 乙方提供材料</w:t>
      </w:r>
      <w:r>
        <w:rPr>
          <w:rFonts w:hint="eastAsia" w:ascii="仿宋_GB2312" w:hAnsi="仿宋_GB2312" w:eastAsia="仿宋_GB2312" w:cs="仿宋_GB2312"/>
          <w:color w:val="auto"/>
          <w:sz w:val="24"/>
          <w:highlight w:val="none"/>
          <w:lang w:val="en-US" w:eastAsia="zh-CN"/>
        </w:rPr>
        <w:t>数量、质量</w:t>
      </w:r>
      <w:r>
        <w:rPr>
          <w:rFonts w:hint="eastAsia" w:ascii="仿宋_GB2312" w:hAnsi="仿宋_GB2312" w:eastAsia="仿宋_GB2312" w:cs="仿宋_GB2312"/>
          <w:color w:val="auto"/>
          <w:sz w:val="24"/>
          <w:highlight w:val="none"/>
        </w:rPr>
        <w:t>不符合本合同要求，却拒不整改、更换，或者整改、更换后，仍不符合本合同要求的；</w:t>
      </w:r>
    </w:p>
    <w:p w14:paraId="45825A0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9.3.2 乙方未经甲方同意将本合同权利义务转让给他人的；</w:t>
      </w:r>
    </w:p>
    <w:p w14:paraId="08CD220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9.3.3 乙方提供虚假材料，包括但不限于检测报告、资质文件、书面报告、行政许可等</w:t>
      </w:r>
      <w:r>
        <w:rPr>
          <w:rFonts w:hint="eastAsia" w:ascii="仿宋_GB2312" w:hAnsi="仿宋_GB2312" w:eastAsia="仿宋_GB2312" w:cs="仿宋_GB2312"/>
          <w:color w:val="auto"/>
          <w:sz w:val="24"/>
          <w:highlight w:val="none"/>
          <w:lang w:eastAsia="zh-CN"/>
        </w:rPr>
        <w:t>；</w:t>
      </w:r>
    </w:p>
    <w:p w14:paraId="2E0ECB67">
      <w:pPr>
        <w:pStyle w:val="3"/>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9.3.4 乙方价格调整甲方不能接受的；</w:t>
      </w:r>
    </w:p>
    <w:p w14:paraId="4E211C9B">
      <w:pPr>
        <w:pStyle w:val="3"/>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9.3.5 停业整顿，被吊销营业执照；</w:t>
      </w:r>
    </w:p>
    <w:p w14:paraId="6EB74F50">
      <w:pPr>
        <w:pStyle w:val="3"/>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9.3.6 破产或丧失履约能力</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pacing w:val="2"/>
          <w:sz w:val="24"/>
          <w:highlight w:val="none"/>
          <w:lang w:val="en-US" w:eastAsia="zh-CN"/>
        </w:rPr>
        <w:t>无法按甲方要求的时间和质量履行义务的</w:t>
      </w:r>
      <w:r>
        <w:rPr>
          <w:rFonts w:hint="eastAsia" w:ascii="仿宋_GB2312" w:hAnsi="仿宋_GB2312" w:eastAsia="仿宋_GB2312" w:cs="仿宋_GB2312"/>
          <w:color w:val="auto"/>
          <w:sz w:val="24"/>
          <w:highlight w:val="none"/>
        </w:rPr>
        <w:t>；</w:t>
      </w:r>
    </w:p>
    <w:p w14:paraId="1F2F3F56">
      <w:pPr>
        <w:pStyle w:val="3"/>
        <w:keepNext w:val="0"/>
        <w:keepLines w:val="0"/>
        <w:pageBreakBefore w:val="0"/>
        <w:widowControl w:val="0"/>
        <w:kinsoku/>
        <w:wordWrap/>
        <w:overflowPunct/>
        <w:topLinePunct w:val="0"/>
        <w:bidi w:val="0"/>
        <w:snapToGrid/>
        <w:spacing w:line="360" w:lineRule="auto"/>
        <w:ind w:firstLine="48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9.3.7 其他严重损害甲方利益或妨害合同履行的行为的；</w:t>
      </w:r>
    </w:p>
    <w:p w14:paraId="30C833B7">
      <w:pPr>
        <w:pStyle w:val="3"/>
        <w:keepNext w:val="0"/>
        <w:keepLines w:val="0"/>
        <w:pageBreakBefore w:val="0"/>
        <w:widowControl w:val="0"/>
        <w:kinsoku/>
        <w:wordWrap/>
        <w:overflowPunct/>
        <w:topLinePunct w:val="0"/>
        <w:bidi w:val="0"/>
        <w:snapToGrid/>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 xml:space="preserve">9.3.8 </w:t>
      </w:r>
      <w:r>
        <w:rPr>
          <w:rFonts w:hint="eastAsia" w:ascii="仿宋_GB2312" w:hAnsi="仿宋_GB2312" w:eastAsia="仿宋_GB2312" w:cs="仿宋_GB2312"/>
          <w:color w:val="auto"/>
          <w:sz w:val="24"/>
          <w:highlight w:val="none"/>
          <w:lang w:val="en-US" w:eastAsia="zh-CN"/>
        </w:rPr>
        <w:t>乙方被甲方或甲方关联企业列入限制交易名单的；</w:t>
      </w:r>
    </w:p>
    <w:p w14:paraId="1B2D0B2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9.3.9</w:t>
      </w:r>
      <w:r>
        <w:rPr>
          <w:rFonts w:hint="eastAsia" w:ascii="仿宋_GB2312" w:hAnsi="仿宋_GB2312" w:eastAsia="仿宋_GB2312" w:cs="仿宋_GB2312"/>
          <w:color w:val="auto"/>
          <w:sz w:val="24"/>
          <w:highlight w:val="none"/>
        </w:rPr>
        <w:t>合同中其他条款约定的解除情形。</w:t>
      </w:r>
    </w:p>
    <w:p w14:paraId="56EC3E31">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十、合同争议的处理</w:t>
      </w:r>
    </w:p>
    <w:p w14:paraId="3B87485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8"/>
          <w:szCs w:val="28"/>
          <w:highlight w:val="none"/>
          <w:shd w:val="clear" w:color="auto" w:fill="FFFFFF"/>
        </w:rPr>
      </w:pPr>
      <w:r>
        <w:rPr>
          <w:rFonts w:hint="eastAsia" w:ascii="仿宋_GB2312" w:hAnsi="仿宋_GB2312" w:eastAsia="仿宋_GB2312" w:cs="仿宋_GB2312"/>
          <w:color w:val="auto"/>
          <w:sz w:val="24"/>
          <w:highlight w:val="none"/>
          <w:shd w:val="clear" w:color="auto" w:fill="FFFFFF"/>
        </w:rPr>
        <w:t>因本合同引起或与本合同有关的争议，双方友好协商解决；若协商未果，双方一致同意提交</w:t>
      </w:r>
      <w:r>
        <w:rPr>
          <w:rFonts w:hint="eastAsia" w:ascii="仿宋_GB2312" w:hAnsi="仿宋_GB2312" w:eastAsia="仿宋_GB2312" w:cs="仿宋_GB2312"/>
          <w:color w:val="auto"/>
          <w:sz w:val="24"/>
          <w:highlight w:val="none"/>
          <w:shd w:val="clear" w:color="auto" w:fill="FFFFFF"/>
          <w:lang w:val="en-US" w:eastAsia="zh-CN"/>
        </w:rPr>
        <w:t>项目所在地的</w:t>
      </w:r>
      <w:r>
        <w:rPr>
          <w:rFonts w:hint="eastAsia" w:ascii="仿宋_GB2312" w:hAnsi="仿宋_GB2312" w:eastAsia="仿宋_GB2312" w:cs="仿宋_GB2312"/>
          <w:color w:val="auto"/>
          <w:sz w:val="24"/>
          <w:highlight w:val="none"/>
          <w:shd w:val="clear" w:color="auto" w:fill="FFFFFF"/>
        </w:rPr>
        <w:t>人民法院诉讼解决。</w:t>
      </w:r>
    </w:p>
    <w:p w14:paraId="1E3FAD9A">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十一、本合同协议书及所附下列文件是构成合同不可分割的部分（如有）</w:t>
      </w:r>
    </w:p>
    <w:p w14:paraId="19EB5F1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 xml:space="preserve">11.1 </w:t>
      </w:r>
      <w:r>
        <w:rPr>
          <w:rFonts w:hint="eastAsia" w:ascii="仿宋_GB2312" w:hAnsi="仿宋_GB2312" w:eastAsia="仿宋_GB2312" w:cs="仿宋_GB2312"/>
          <w:color w:val="auto"/>
          <w:sz w:val="24"/>
          <w:highlight w:val="none"/>
          <w:lang w:val="en-US" w:eastAsia="zh-CN"/>
        </w:rPr>
        <w:t>本合同；</w:t>
      </w:r>
    </w:p>
    <w:p w14:paraId="27C0FA6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11.2 </w:t>
      </w:r>
      <w:r>
        <w:rPr>
          <w:rFonts w:hint="eastAsia" w:ascii="仿宋_GB2312" w:hAnsi="仿宋_GB2312" w:eastAsia="仿宋_GB2312" w:cs="仿宋_GB2312"/>
          <w:color w:val="auto"/>
          <w:sz w:val="24"/>
          <w:highlight w:val="none"/>
        </w:rPr>
        <w:t>中标通知书；</w:t>
      </w:r>
    </w:p>
    <w:p w14:paraId="35080E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r>
        <w:rPr>
          <w:rFonts w:hint="eastAsia" w:ascii="仿宋_GB2312" w:hAnsi="仿宋_GB2312" w:eastAsia="仿宋_GB2312" w:cs="仿宋_GB2312"/>
          <w:color w:val="auto"/>
          <w:sz w:val="24"/>
          <w:highlight w:val="none"/>
          <w:lang w:val="en-US" w:eastAsia="zh-CN"/>
        </w:rPr>
        <w:t>3</w:t>
      </w:r>
      <w:r>
        <w:rPr>
          <w:rFonts w:hint="eastAsia" w:ascii="仿宋_GB2312" w:hAnsi="仿宋_GB2312" w:eastAsia="仿宋_GB2312" w:cs="仿宋_GB2312"/>
          <w:color w:val="auto"/>
          <w:sz w:val="24"/>
          <w:highlight w:val="none"/>
        </w:rPr>
        <w:t xml:space="preserve"> 技术规格书；</w:t>
      </w:r>
    </w:p>
    <w:p w14:paraId="03D79E3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r>
        <w:rPr>
          <w:rFonts w:hint="eastAsia" w:ascii="仿宋_GB2312" w:hAnsi="仿宋_GB2312" w:eastAsia="仿宋_GB2312" w:cs="仿宋_GB2312"/>
          <w:color w:val="auto"/>
          <w:sz w:val="24"/>
          <w:highlight w:val="none"/>
          <w:lang w:val="en-US" w:eastAsia="zh-CN"/>
        </w:rPr>
        <w:t>4</w:t>
      </w:r>
      <w:r>
        <w:rPr>
          <w:rFonts w:hint="eastAsia" w:ascii="仿宋_GB2312" w:hAnsi="仿宋_GB2312" w:eastAsia="仿宋_GB2312" w:cs="仿宋_GB2312"/>
          <w:color w:val="auto"/>
          <w:sz w:val="24"/>
          <w:highlight w:val="none"/>
        </w:rPr>
        <w:t xml:space="preserve"> 投标文件（含经评标委员会接受的澄清和补充资料）； </w:t>
      </w:r>
      <w:r>
        <w:rPr>
          <w:rFonts w:hint="eastAsia" w:ascii="仿宋_GB2312" w:hAnsi="仿宋_GB2312" w:eastAsia="仿宋_GB2312" w:cs="仿宋_GB2312"/>
          <w:color w:val="auto"/>
          <w:sz w:val="24"/>
          <w:highlight w:val="none"/>
        </w:rPr>
        <w:tab/>
      </w:r>
    </w:p>
    <w:p w14:paraId="6DD933C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11.</w:t>
      </w:r>
      <w:r>
        <w:rPr>
          <w:rFonts w:hint="eastAsia" w:ascii="仿宋_GB2312" w:hAnsi="仿宋_GB2312" w:eastAsia="仿宋_GB2312" w:cs="仿宋_GB2312"/>
          <w:color w:val="auto"/>
          <w:sz w:val="24"/>
          <w:highlight w:val="none"/>
          <w:lang w:val="en-US" w:eastAsia="zh-CN"/>
        </w:rPr>
        <w:t>5</w:t>
      </w:r>
      <w:r>
        <w:rPr>
          <w:rFonts w:hint="eastAsia" w:ascii="仿宋_GB2312" w:hAnsi="仿宋_GB2312" w:eastAsia="仿宋_GB2312" w:cs="仿宋_GB2312"/>
          <w:color w:val="auto"/>
          <w:sz w:val="24"/>
          <w:highlight w:val="none"/>
        </w:rPr>
        <w:t xml:space="preserve"> 招标文件</w:t>
      </w:r>
      <w:r>
        <w:rPr>
          <w:rFonts w:hint="eastAsia" w:ascii="仿宋_GB2312" w:hAnsi="仿宋_GB2312" w:eastAsia="仿宋_GB2312" w:cs="仿宋_GB2312"/>
          <w:color w:val="auto"/>
          <w:sz w:val="24"/>
          <w:highlight w:val="none"/>
          <w:lang w:val="en-US" w:eastAsia="zh-CN"/>
        </w:rPr>
        <w:t>及其附件</w:t>
      </w:r>
      <w:r>
        <w:rPr>
          <w:rFonts w:hint="eastAsia" w:ascii="仿宋_GB2312" w:hAnsi="仿宋_GB2312" w:eastAsia="仿宋_GB2312" w:cs="仿宋_GB2312"/>
          <w:color w:val="auto"/>
          <w:sz w:val="24"/>
          <w:highlight w:val="none"/>
        </w:rPr>
        <w:t>；</w:t>
      </w:r>
    </w:p>
    <w:p w14:paraId="7220A4E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rPr>
        <w:t>11.</w:t>
      </w:r>
      <w:r>
        <w:rPr>
          <w:rFonts w:hint="eastAsia" w:ascii="仿宋_GB2312" w:hAnsi="仿宋_GB2312" w:eastAsia="仿宋_GB2312" w:cs="仿宋_GB2312"/>
          <w:color w:val="auto"/>
          <w:sz w:val="24"/>
          <w:highlight w:val="none"/>
          <w:lang w:val="en-US" w:eastAsia="zh-CN"/>
        </w:rPr>
        <w:t>6</w:t>
      </w:r>
      <w:r>
        <w:rPr>
          <w:rFonts w:hint="eastAsia" w:ascii="仿宋_GB2312" w:hAnsi="仿宋_GB2312" w:eastAsia="仿宋_GB2312" w:cs="仿宋_GB2312"/>
          <w:color w:val="auto"/>
          <w:sz w:val="24"/>
          <w:highlight w:val="none"/>
        </w:rPr>
        <w:t xml:space="preserve"> 本合同其他条款和上述文件提到的其他有关文件</w:t>
      </w:r>
      <w:r>
        <w:rPr>
          <w:rFonts w:hint="eastAsia" w:ascii="仿宋_GB2312" w:hAnsi="仿宋_GB2312" w:eastAsia="仿宋_GB2312" w:cs="仿宋_GB2312"/>
          <w:color w:val="auto"/>
          <w:sz w:val="24"/>
          <w:highlight w:val="none"/>
          <w:lang w:eastAsia="zh-CN"/>
        </w:rPr>
        <w:t>；</w:t>
      </w:r>
    </w:p>
    <w:p w14:paraId="4AF43208">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11.7 经双方协商一致后签订的补充协议。</w:t>
      </w:r>
    </w:p>
    <w:p w14:paraId="27EDA4B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上述文件应相互补充和相互解释，在不明确或矛盾时，应按以上顺序在先者为准。</w:t>
      </w:r>
    </w:p>
    <w:p w14:paraId="6D28BF42">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仿宋_GB2312" w:hAnsi="仿宋_GB2312" w:eastAsia="仿宋_GB2312" w:cs="仿宋_GB2312"/>
          <w:b/>
          <w:bCs/>
          <w:color w:val="auto"/>
          <w:sz w:val="24"/>
          <w:highlight w:val="none"/>
        </w:rPr>
      </w:pPr>
      <w:r>
        <w:rPr>
          <w:rFonts w:hint="eastAsia" w:ascii="仿宋_GB2312" w:hAnsi="仿宋_GB2312" w:eastAsia="仿宋_GB2312" w:cs="仿宋_GB2312"/>
          <w:b/>
          <w:bCs/>
          <w:color w:val="auto"/>
          <w:kern w:val="2"/>
          <w:sz w:val="24"/>
          <w:szCs w:val="24"/>
          <w:highlight w:val="none"/>
          <w:lang w:val="en-US" w:eastAsia="zh-CN" w:bidi="ar-SA"/>
        </w:rPr>
        <w:t>十二、</w:t>
      </w:r>
      <w:r>
        <w:rPr>
          <w:rFonts w:hint="eastAsia" w:ascii="仿宋_GB2312" w:hAnsi="仿宋_GB2312" w:eastAsia="仿宋_GB2312" w:cs="仿宋_GB2312"/>
          <w:b/>
          <w:bCs/>
          <w:color w:val="auto"/>
          <w:sz w:val="24"/>
          <w:highlight w:val="none"/>
        </w:rPr>
        <w:t>送达</w:t>
      </w:r>
    </w:p>
    <w:p w14:paraId="68A1DCA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乙方确认其有效的送达地址为：</w:t>
      </w:r>
      <w:r>
        <w:rPr>
          <w:rFonts w:hint="eastAsia" w:ascii="仿宋_GB2312" w:hAnsi="仿宋_GB2312" w:eastAsia="仿宋_GB2312" w:cs="仿宋_GB2312"/>
          <w:color w:val="auto"/>
          <w:sz w:val="24"/>
          <w:highlight w:val="none"/>
          <w:u w:val="single"/>
        </w:rPr>
        <w:t>联系人：</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rPr>
        <w:t>地址：</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rPr>
        <w:t>手机号</w:t>
      </w:r>
      <w:r>
        <w:rPr>
          <w:rFonts w:hint="eastAsia" w:ascii="仿宋_GB2312" w:hAnsi="仿宋_GB2312" w:eastAsia="仿宋_GB2312" w:cs="仿宋_GB2312"/>
          <w:color w:val="auto"/>
          <w:sz w:val="24"/>
          <w:highlight w:val="none"/>
          <w:u w:val="single"/>
          <w:lang w:eastAsia="zh-CN"/>
        </w:rPr>
        <w:t>（</w:t>
      </w:r>
      <w:r>
        <w:rPr>
          <w:rFonts w:hint="eastAsia" w:ascii="仿宋_GB2312" w:hAnsi="仿宋_GB2312" w:eastAsia="仿宋_GB2312" w:cs="仿宋_GB2312"/>
          <w:color w:val="auto"/>
          <w:sz w:val="24"/>
          <w:highlight w:val="none"/>
          <w:u w:val="single"/>
          <w:lang w:val="en-US" w:eastAsia="zh-CN"/>
        </w:rPr>
        <w:t>微信</w:t>
      </w:r>
      <w:r>
        <w:rPr>
          <w:rFonts w:hint="eastAsia" w:ascii="仿宋_GB2312" w:hAnsi="仿宋_GB2312" w:eastAsia="仿宋_GB2312" w:cs="仿宋_GB2312"/>
          <w:color w:val="auto"/>
          <w:sz w:val="24"/>
          <w:highlight w:val="none"/>
          <w:u w:val="single"/>
          <w:lang w:eastAsia="zh-CN"/>
        </w:rPr>
        <w:t>）</w:t>
      </w:r>
      <w:r>
        <w:rPr>
          <w:rFonts w:hint="eastAsia" w:ascii="仿宋_GB2312" w:hAnsi="仿宋_GB2312" w:eastAsia="仿宋_GB2312" w:cs="仿宋_GB2312"/>
          <w:color w:val="auto"/>
          <w:sz w:val="24"/>
          <w:highlight w:val="none"/>
          <w:u w:val="single"/>
        </w:rPr>
        <w:t>：</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lang w:eastAsia="zh-CN"/>
        </w:rPr>
        <w:t>，</w:t>
      </w:r>
      <w:r>
        <w:rPr>
          <w:rFonts w:hint="eastAsia" w:ascii="仿宋_GB2312" w:hAnsi="仿宋_GB2312" w:eastAsia="仿宋_GB2312" w:cs="仿宋_GB2312"/>
          <w:color w:val="auto"/>
          <w:sz w:val="24"/>
          <w:highlight w:val="none"/>
          <w:u w:val="single"/>
        </w:rPr>
        <w:t>电子邮箱：</w:t>
      </w:r>
      <w:r>
        <w:rPr>
          <w:rFonts w:hint="eastAsia" w:ascii="仿宋_GB2312" w:hAnsi="仿宋_GB2312" w:eastAsia="仿宋_GB2312" w:cs="仿宋_GB2312"/>
          <w:color w:val="auto"/>
          <w:sz w:val="24"/>
          <w:highlight w:val="none"/>
          <w:u w:val="single"/>
          <w:lang w:val="en-US" w:eastAsia="zh-CN"/>
        </w:rPr>
        <w:t xml:space="preserve">     </w:t>
      </w:r>
      <w:r>
        <w:rPr>
          <w:rFonts w:hint="eastAsia" w:ascii="仿宋_GB2312" w:hAnsi="仿宋_GB2312" w:eastAsia="仿宋_GB2312" w:cs="仿宋_GB2312"/>
          <w:color w:val="auto"/>
          <w:sz w:val="24"/>
          <w:highlight w:val="none"/>
          <w:u w:val="single"/>
        </w:rPr>
        <w:t>。</w:t>
      </w:r>
      <w:r>
        <w:rPr>
          <w:rFonts w:hint="eastAsia" w:ascii="仿宋_GB2312" w:hAnsi="仿宋_GB2312" w:eastAsia="仿宋_GB2312" w:cs="仿宋_GB2312"/>
          <w:color w:val="auto"/>
          <w:sz w:val="24"/>
          <w:highlight w:val="none"/>
        </w:rPr>
        <w:t>上述送达地址适用范围包括双方各类通知、协议、往来函件等文件以及就合同发生纠纷时相关文件和法律文书的送达。乙方送达地址变更时应当通过书面方式通知甲方，否则按合同载明的地址送达仍然视为有效送达。法律文书因乙方签署的地址不正确、地址变更而未及时书面通知、无人签收、拒收等原因，导致文书未能实际接收时，邮寄送达的，以文书退回之日视为送达之日；直接送达的，送达人当场在送达回证上记明情况之日视为送达之日</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电子送达的（包括但不限于电子邮箱、微信、短信等），以发送成功的日期为送达之日。</w:t>
      </w:r>
    </w:p>
    <w:p w14:paraId="0FA1F8E2">
      <w:pPr>
        <w:keepNext w:val="0"/>
        <w:keepLines w:val="0"/>
        <w:pageBreakBefore w:val="0"/>
        <w:widowControl w:val="0"/>
        <w:numPr>
          <w:ilvl w:val="0"/>
          <w:numId w:val="0"/>
        </w:numPr>
        <w:kinsoku/>
        <w:wordWrap/>
        <w:overflowPunct/>
        <w:topLinePunct w:val="0"/>
        <w:bidi w:val="0"/>
        <w:snapToGrid/>
        <w:spacing w:line="360" w:lineRule="auto"/>
        <w:textAlignment w:val="auto"/>
        <w:rPr>
          <w:rFonts w:hint="default" w:ascii="仿宋_GB2312" w:hAnsi="仿宋_GB2312" w:eastAsia="仿宋_GB2312" w:cs="仿宋_GB2312"/>
          <w:b/>
          <w:bCs/>
          <w:color w:val="auto"/>
          <w:sz w:val="24"/>
          <w:highlight w:val="none"/>
          <w:lang w:val="en-US" w:eastAsia="zh-CN"/>
        </w:rPr>
      </w:pPr>
      <w:r>
        <w:rPr>
          <w:rFonts w:hint="eastAsia" w:ascii="仿宋_GB2312" w:hAnsi="仿宋_GB2312" w:eastAsia="仿宋_GB2312" w:cs="仿宋_GB2312"/>
          <w:b/>
          <w:bCs/>
          <w:color w:val="auto"/>
          <w:kern w:val="2"/>
          <w:sz w:val="24"/>
          <w:szCs w:val="24"/>
          <w:highlight w:val="none"/>
          <w:lang w:val="en-US" w:eastAsia="zh-CN" w:bidi="ar-SA"/>
        </w:rPr>
        <w:t>十三、权属、</w:t>
      </w:r>
      <w:r>
        <w:rPr>
          <w:rFonts w:hint="eastAsia" w:ascii="仿宋_GB2312" w:hAnsi="仿宋_GB2312" w:eastAsia="仿宋_GB2312" w:cs="仿宋_GB2312"/>
          <w:b/>
          <w:bCs/>
          <w:color w:val="auto"/>
          <w:sz w:val="24"/>
          <w:highlight w:val="none"/>
          <w:lang w:val="en-US" w:eastAsia="zh-CN"/>
        </w:rPr>
        <w:t>知识产权</w:t>
      </w:r>
    </w:p>
    <w:p w14:paraId="743016E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Cs/>
          <w:color w:val="auto"/>
          <w:sz w:val="24"/>
          <w:highlight w:val="none"/>
          <w:lang w:val="en-US" w:eastAsia="zh-CN"/>
        </w:rPr>
      </w:pPr>
      <w:r>
        <w:rPr>
          <w:rFonts w:hint="eastAsia" w:ascii="仿宋_GB2312" w:hAnsi="仿宋_GB2312" w:eastAsia="仿宋_GB2312" w:cs="仿宋_GB2312"/>
          <w:bCs/>
          <w:color w:val="auto"/>
          <w:sz w:val="24"/>
          <w:highlight w:val="none"/>
          <w:lang w:val="en-US" w:eastAsia="zh-CN"/>
        </w:rPr>
        <w:t>合同涉及材料或材料制造方法、产品结构及其中的技术资料涉及知识产权、商标权的，乙方应当获得相应授权并保证甲方免于受到任何知识产权、商标权侵权的主张、索赔或诉讼。另外乙方应当保证合同涉及材料不存在与第三人的权属争议，如果甲方收到任何第三方有关知识产权、商标权、权属的主张、索赔或诉讼，均由乙方承担一切责任。乙方在收到甲方通知后，应积极处理与第三方的索赔或诉讼，并承担因此产生的费用以及给甲方造成的损失（包括但不限于律师费、保全费、保全保险费、诉讼费、鉴定费等）。</w:t>
      </w:r>
    </w:p>
    <w:p w14:paraId="73D70544">
      <w:pPr>
        <w:keepNext w:val="0"/>
        <w:keepLines w:val="0"/>
        <w:pageBreakBefore w:val="0"/>
        <w:widowControl w:val="0"/>
        <w:numPr>
          <w:ilvl w:val="0"/>
          <w:numId w:val="0"/>
        </w:numPr>
        <w:kinsoku/>
        <w:wordWrap/>
        <w:overflowPunct/>
        <w:topLinePunct w:val="0"/>
        <w:bidi w:val="0"/>
        <w:snapToGrid/>
        <w:spacing w:line="360" w:lineRule="auto"/>
        <w:ind w:firstLine="0" w:firstLineChars="0"/>
        <w:textAlignment w:val="auto"/>
        <w:rPr>
          <w:rFonts w:hint="default"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十四、附则</w:t>
      </w:r>
    </w:p>
    <w:p w14:paraId="04D0F003">
      <w:pPr>
        <w:keepNext w:val="0"/>
        <w:keepLines w:val="0"/>
        <w:pageBreakBefore w:val="0"/>
        <w:widowControl w:val="0"/>
        <w:numPr>
          <w:ilvl w:val="-1"/>
          <w:numId w:val="0"/>
        </w:numPr>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en-US" w:eastAsia="zh-CN"/>
        </w:rPr>
        <w:t xml:space="preserve">14.1 </w:t>
      </w:r>
      <w:r>
        <w:rPr>
          <w:rFonts w:hint="eastAsia" w:ascii="仿宋_GB2312" w:hAnsi="仿宋_GB2312" w:eastAsia="仿宋_GB2312" w:cs="仿宋_GB2312"/>
          <w:color w:val="auto"/>
          <w:sz w:val="24"/>
          <w:highlight w:val="none"/>
        </w:rPr>
        <w:t>乙方单位《营业执照》（复印件）、资质证书（复印件）、法人代表授权书、法人代表及委托代理人本人身份证（复印件）</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产品质量检测报告</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复印件</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是本合同的组成部分。</w:t>
      </w:r>
    </w:p>
    <w:p w14:paraId="5AD349A1">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default" w:ascii="仿宋_GB2312" w:hAnsi="仿宋_GB2312" w:eastAsia="仿宋_GB2312" w:cs="仿宋_GB2312"/>
          <w:bCs/>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 xml:space="preserve">14.2 </w:t>
      </w:r>
      <w:r>
        <w:rPr>
          <w:rFonts w:hint="eastAsia" w:ascii="仿宋_GB2312" w:hAnsi="仿宋_GB2312" w:eastAsia="仿宋_GB2312" w:cs="仿宋_GB2312"/>
          <w:color w:val="auto"/>
          <w:sz w:val="24"/>
          <w:highlight w:val="none"/>
        </w:rPr>
        <w:t>本合同一式肆份，甲方执叁份、乙方执壹份，经双方签字</w:t>
      </w:r>
      <w:r>
        <w:rPr>
          <w:rFonts w:hint="eastAsia" w:ascii="仿宋_GB2312" w:hAnsi="仿宋_GB2312" w:eastAsia="仿宋_GB2312" w:cs="仿宋_GB2312"/>
          <w:color w:val="auto"/>
          <w:sz w:val="24"/>
          <w:highlight w:val="none"/>
          <w:lang w:val="en-US" w:eastAsia="zh-CN"/>
        </w:rPr>
        <w:t>并</w:t>
      </w:r>
      <w:r>
        <w:rPr>
          <w:rFonts w:hint="eastAsia" w:ascii="仿宋_GB2312" w:hAnsi="仿宋_GB2312" w:eastAsia="仿宋_GB2312" w:cs="仿宋_GB2312"/>
          <w:color w:val="auto"/>
          <w:sz w:val="24"/>
          <w:highlight w:val="none"/>
        </w:rPr>
        <w:t>盖章（多页合同甲乙双方应同时加盖骑缝章）后生效。本合同未尽事宜，由双方协商一致签订补充条款或补充协议，该补充协议与本合同具有同等法律效力。甲方工程结束，</w:t>
      </w:r>
      <w:r>
        <w:rPr>
          <w:rFonts w:hint="eastAsia" w:ascii="仿宋_GB2312" w:hAnsi="仿宋_GB2312" w:eastAsia="仿宋_GB2312" w:cs="仿宋_GB2312"/>
          <w:color w:val="auto"/>
          <w:sz w:val="24"/>
          <w:highlight w:val="none"/>
          <w:lang w:val="en-US" w:eastAsia="zh-CN"/>
        </w:rPr>
        <w:t>甲乙双方义务履行完毕</w:t>
      </w:r>
      <w:r>
        <w:rPr>
          <w:rFonts w:hint="eastAsia" w:ascii="仿宋_GB2312" w:hAnsi="仿宋_GB2312" w:eastAsia="仿宋_GB2312" w:cs="仿宋_GB2312"/>
          <w:color w:val="auto"/>
          <w:sz w:val="24"/>
          <w:highlight w:val="none"/>
        </w:rPr>
        <w:t>并结算付清全部</w:t>
      </w:r>
      <w:r>
        <w:rPr>
          <w:rFonts w:hint="eastAsia" w:ascii="仿宋_GB2312" w:hAnsi="仿宋_GB2312" w:eastAsia="仿宋_GB2312" w:cs="仿宋_GB2312"/>
          <w:color w:val="auto"/>
          <w:sz w:val="24"/>
          <w:highlight w:val="none"/>
          <w:lang w:val="en-US" w:eastAsia="zh-CN"/>
        </w:rPr>
        <w:t>材料</w:t>
      </w:r>
      <w:r>
        <w:rPr>
          <w:rFonts w:hint="eastAsia" w:ascii="仿宋_GB2312" w:hAnsi="仿宋_GB2312" w:eastAsia="仿宋_GB2312" w:cs="仿宋_GB2312"/>
          <w:color w:val="auto"/>
          <w:sz w:val="24"/>
          <w:highlight w:val="none"/>
        </w:rPr>
        <w:t>款</w:t>
      </w:r>
      <w:r>
        <w:rPr>
          <w:rFonts w:hint="eastAsia" w:ascii="仿宋_GB2312" w:hAnsi="仿宋_GB2312" w:eastAsia="仿宋_GB2312" w:cs="仿宋_GB2312"/>
          <w:color w:val="auto"/>
          <w:sz w:val="24"/>
          <w:highlight w:val="none"/>
          <w:lang w:val="en-US" w:eastAsia="zh-CN"/>
        </w:rPr>
        <w:t>以及</w:t>
      </w:r>
      <w:r>
        <w:rPr>
          <w:rFonts w:hint="eastAsia" w:ascii="仿宋_GB2312" w:hAnsi="仿宋_GB2312" w:eastAsia="仿宋_GB2312" w:cs="仿宋_GB2312"/>
          <w:color w:val="auto"/>
          <w:sz w:val="24"/>
          <w:highlight w:val="none"/>
        </w:rPr>
        <w:t>逾期利息、违约金后本合同自行终止。合同一经终止，乙方不得就合同履行期间甲方延迟付款行为</w:t>
      </w:r>
      <w:r>
        <w:rPr>
          <w:rFonts w:hint="eastAsia" w:ascii="仿宋_GB2312" w:hAnsi="仿宋_GB2312" w:eastAsia="仿宋_GB2312" w:cs="仿宋_GB2312"/>
          <w:color w:val="auto"/>
          <w:sz w:val="24"/>
          <w:highlight w:val="none"/>
          <w:lang w:val="en-US" w:eastAsia="zh-CN"/>
        </w:rPr>
        <w:t>另行</w:t>
      </w:r>
      <w:r>
        <w:rPr>
          <w:rFonts w:hint="eastAsia" w:ascii="仿宋_GB2312" w:hAnsi="仿宋_GB2312" w:eastAsia="仿宋_GB2312" w:cs="仿宋_GB2312"/>
          <w:color w:val="auto"/>
          <w:sz w:val="24"/>
          <w:highlight w:val="none"/>
        </w:rPr>
        <w:t>请求支付逾期利息、违约金等</w:t>
      </w:r>
      <w:r>
        <w:rPr>
          <w:rFonts w:hint="eastAsia" w:ascii="仿宋_GB2312" w:hAnsi="仿宋_GB2312" w:eastAsia="仿宋_GB2312" w:cs="仿宋_GB2312"/>
          <w:color w:val="auto"/>
          <w:sz w:val="24"/>
          <w:highlight w:val="none"/>
          <w:lang w:val="en-US" w:eastAsia="zh-CN"/>
        </w:rPr>
        <w:t>其他</w:t>
      </w:r>
      <w:r>
        <w:rPr>
          <w:rFonts w:hint="eastAsia" w:ascii="仿宋_GB2312" w:hAnsi="仿宋_GB2312" w:eastAsia="仿宋_GB2312" w:cs="仿宋_GB2312"/>
          <w:color w:val="auto"/>
          <w:sz w:val="24"/>
          <w:highlight w:val="none"/>
        </w:rPr>
        <w:t>经济赔偿或补偿。</w:t>
      </w:r>
    </w:p>
    <w:p w14:paraId="03DCFC3E">
      <w:pPr>
        <w:keepNext w:val="0"/>
        <w:keepLines w:val="0"/>
        <w:pageBreakBefore w:val="0"/>
        <w:widowControl w:val="0"/>
        <w:kinsoku/>
        <w:wordWrap/>
        <w:overflowPunct/>
        <w:topLinePunct w:val="0"/>
        <w:bidi w:val="0"/>
        <w:snapToGrid/>
        <w:spacing w:line="360" w:lineRule="auto"/>
        <w:ind w:firstLine="0" w:firstLineChars="0"/>
        <w:textAlignment w:val="auto"/>
        <w:rPr>
          <w:rFonts w:hint="eastAsia" w:ascii="仿宋_GB2312" w:hAnsi="仿宋_GB2312" w:eastAsia="仿宋_GB2312" w:cs="仿宋_GB2312"/>
          <w:b/>
          <w:color w:val="auto"/>
          <w:sz w:val="24"/>
          <w:highlight w:val="none"/>
        </w:rPr>
      </w:pPr>
      <w:r>
        <w:rPr>
          <w:rFonts w:hint="eastAsia" w:ascii="仿宋_GB2312" w:hAnsi="仿宋_GB2312" w:eastAsia="仿宋_GB2312" w:cs="仿宋_GB2312"/>
          <w:b/>
          <w:color w:val="auto"/>
          <w:sz w:val="24"/>
          <w:highlight w:val="none"/>
        </w:rPr>
        <w:t>十</w:t>
      </w:r>
      <w:r>
        <w:rPr>
          <w:rFonts w:hint="eastAsia" w:ascii="仿宋_GB2312" w:hAnsi="仿宋_GB2312" w:eastAsia="仿宋_GB2312" w:cs="仿宋_GB2312"/>
          <w:b/>
          <w:color w:val="auto"/>
          <w:sz w:val="24"/>
          <w:highlight w:val="none"/>
          <w:lang w:val="en-US" w:eastAsia="zh-CN"/>
        </w:rPr>
        <w:t>五</w:t>
      </w:r>
      <w:r>
        <w:rPr>
          <w:rFonts w:hint="eastAsia" w:ascii="仿宋_GB2312" w:hAnsi="仿宋_GB2312" w:eastAsia="仿宋_GB2312" w:cs="仿宋_GB2312"/>
          <w:b/>
          <w:color w:val="auto"/>
          <w:sz w:val="24"/>
          <w:highlight w:val="none"/>
        </w:rPr>
        <w:t>、双方约定的其它事项：</w:t>
      </w:r>
    </w:p>
    <w:p w14:paraId="58DA295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bCs/>
          <w:color w:val="auto"/>
          <w:sz w:val="24"/>
          <w:highlight w:val="none"/>
          <w:lang w:val="en-US" w:eastAsia="zh-CN"/>
        </w:rPr>
        <w:t>15.1</w:t>
      </w:r>
      <w:r>
        <w:rPr>
          <w:rFonts w:hint="eastAsia" w:ascii="仿宋_GB2312" w:hAnsi="仿宋_GB2312" w:eastAsia="仿宋_GB2312" w:cs="仿宋_GB2312"/>
          <w:bCs/>
          <w:color w:val="auto"/>
          <w:sz w:val="24"/>
          <w:highlight w:val="none"/>
        </w:rPr>
        <w:t>双方承诺保守在履行本合同过程中得知的对方的商业秘密</w:t>
      </w:r>
      <w:r>
        <w:rPr>
          <w:rFonts w:hint="eastAsia" w:ascii="仿宋_GB2312" w:hAnsi="仿宋_GB2312" w:eastAsia="仿宋_GB2312" w:cs="仿宋_GB2312"/>
          <w:bCs/>
          <w:color w:val="auto"/>
          <w:sz w:val="24"/>
          <w:highlight w:val="none"/>
          <w:lang w:eastAsia="zh-CN"/>
        </w:rPr>
        <w:t>、</w:t>
      </w:r>
      <w:r>
        <w:rPr>
          <w:rFonts w:hint="eastAsia" w:ascii="仿宋_GB2312" w:hAnsi="仿宋_GB2312" w:eastAsia="仿宋_GB2312" w:cs="仿宋_GB2312"/>
          <w:bCs/>
          <w:color w:val="auto"/>
          <w:sz w:val="24"/>
          <w:highlight w:val="none"/>
          <w:lang w:val="en-US" w:eastAsia="zh-CN"/>
        </w:rPr>
        <w:t>合同文件、基数规格、图纸或资料，不得提供给与履行本合同无关的任何其他人</w:t>
      </w:r>
      <w:r>
        <w:rPr>
          <w:rFonts w:hint="eastAsia" w:ascii="仿宋_GB2312" w:hAnsi="仿宋_GB2312" w:eastAsia="仿宋_GB2312" w:cs="仿宋_GB2312"/>
          <w:bCs/>
          <w:color w:val="auto"/>
          <w:sz w:val="24"/>
          <w:highlight w:val="none"/>
        </w:rPr>
        <w:t>；该保密义务在本合同终止或解除（无论何种原因）之后仍需履行。</w:t>
      </w:r>
    </w:p>
    <w:p w14:paraId="0A80E02F">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_GB2312" w:hAnsi="仿宋_GB2312" w:eastAsia="仿宋_GB2312" w:cs="仿宋_GB2312"/>
          <w:bCs/>
          <w:color w:val="auto"/>
          <w:sz w:val="24"/>
          <w:highlight w:val="none"/>
          <w:lang w:val="en-US" w:eastAsia="zh-CN"/>
        </w:rPr>
      </w:pPr>
      <w:r>
        <w:rPr>
          <w:rFonts w:hint="eastAsia" w:ascii="仿宋_GB2312" w:hAnsi="仿宋_GB2312" w:eastAsia="仿宋_GB2312" w:cs="仿宋_GB2312"/>
          <w:b/>
          <w:bCs w:val="0"/>
          <w:i/>
          <w:iCs/>
          <w:color w:val="auto"/>
          <w:sz w:val="24"/>
          <w:highlight w:val="none"/>
          <w:u w:val="single"/>
          <w:lang w:val="en-US" w:eastAsia="zh-CN"/>
        </w:rPr>
        <w:t>15.2 如乙方属于</w:t>
      </w:r>
      <w:r>
        <w:rPr>
          <w:rFonts w:hint="eastAsia" w:ascii="仿宋_GB2312" w:hAnsi="仿宋_GB2312" w:eastAsia="仿宋_GB2312" w:cs="仿宋_GB2312"/>
          <w:b/>
          <w:bCs w:val="0"/>
          <w:i/>
          <w:iCs/>
          <w:color w:val="auto"/>
          <w:sz w:val="24"/>
          <w:highlight w:val="none"/>
          <w:u w:val="single"/>
        </w:rPr>
        <w:t>依据国务院批准的中小企业划分标准确定的中型企业、小型企业和微型企业</w:t>
      </w:r>
      <w:r>
        <w:rPr>
          <w:rFonts w:hint="eastAsia" w:ascii="仿宋_GB2312" w:hAnsi="仿宋_GB2312" w:eastAsia="仿宋_GB2312" w:cs="仿宋_GB2312"/>
          <w:b/>
          <w:bCs w:val="0"/>
          <w:i/>
          <w:iCs/>
          <w:color w:val="auto"/>
          <w:sz w:val="24"/>
          <w:highlight w:val="none"/>
          <w:u w:val="single"/>
          <w:lang w:eastAsia="zh-CN"/>
        </w:rPr>
        <w:t>，</w:t>
      </w:r>
      <w:r>
        <w:rPr>
          <w:rFonts w:hint="eastAsia" w:ascii="仿宋_GB2312" w:hAnsi="仿宋_GB2312" w:eastAsia="仿宋_GB2312" w:cs="仿宋_GB2312"/>
          <w:b/>
          <w:bCs w:val="0"/>
          <w:i/>
          <w:iCs/>
          <w:color w:val="auto"/>
          <w:sz w:val="24"/>
          <w:highlight w:val="none"/>
          <w:u w:val="single"/>
          <w:lang w:val="en-US" w:eastAsia="zh-CN"/>
        </w:rPr>
        <w:t>乙方应当在投标时及合同签订前书面告知甲方，否则甲方有权不认可乙方中小微企业身份，乙方无权依据</w:t>
      </w:r>
      <w:r>
        <w:rPr>
          <w:rFonts w:hint="eastAsia" w:ascii="仿宋_GB2312" w:hAnsi="仿宋_GB2312" w:eastAsia="仿宋_GB2312" w:cs="仿宋_GB2312"/>
          <w:b/>
          <w:bCs w:val="0"/>
          <w:i/>
          <w:iCs/>
          <w:color w:val="auto"/>
          <w:sz w:val="24"/>
          <w:highlight w:val="none"/>
          <w:u w:val="single"/>
        </w:rPr>
        <w:t>《保障中小企业款项支付条例》</w:t>
      </w:r>
      <w:r>
        <w:rPr>
          <w:rFonts w:hint="eastAsia" w:ascii="仿宋_GB2312" w:hAnsi="仿宋_GB2312" w:eastAsia="仿宋_GB2312" w:cs="仿宋_GB2312"/>
          <w:b/>
          <w:bCs w:val="0"/>
          <w:i/>
          <w:iCs/>
          <w:color w:val="auto"/>
          <w:sz w:val="24"/>
          <w:highlight w:val="none"/>
          <w:u w:val="single"/>
          <w:lang w:val="en-US" w:eastAsia="zh-CN"/>
        </w:rPr>
        <w:t>主张相关权利。</w:t>
      </w:r>
    </w:p>
    <w:p w14:paraId="67D0753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_GB2312" w:hAnsi="仿宋_GB2312" w:eastAsia="仿宋_GB2312" w:cs="仿宋_GB2312"/>
          <w:b/>
          <w:bCs w:val="0"/>
          <w:i/>
          <w:iCs/>
          <w:color w:val="auto"/>
          <w:sz w:val="24"/>
          <w:highlight w:val="none"/>
          <w:u w:val="none"/>
          <w:lang w:val="en-US" w:eastAsia="zh-CN"/>
        </w:rPr>
      </w:pPr>
      <w:r>
        <w:rPr>
          <w:rFonts w:hint="eastAsia" w:ascii="仿宋_GB2312" w:hAnsi="仿宋_GB2312" w:eastAsia="仿宋_GB2312" w:cs="仿宋_GB2312"/>
          <w:bCs/>
          <w:color w:val="auto"/>
          <w:sz w:val="24"/>
          <w:highlight w:val="none"/>
          <w:lang w:val="en-US" w:eastAsia="zh-CN"/>
        </w:rPr>
        <w:t>15.3</w:t>
      </w:r>
      <w:r>
        <w:rPr>
          <w:rFonts w:hint="eastAsia" w:ascii="仿宋_GB2312" w:hAnsi="仿宋_GB2312" w:eastAsia="仿宋_GB2312" w:cs="仿宋_GB2312"/>
          <w:b/>
          <w:bCs w:val="0"/>
          <w:i/>
          <w:iCs/>
          <w:color w:val="auto"/>
          <w:sz w:val="24"/>
          <w:highlight w:val="none"/>
          <w:u w:val="none"/>
          <w:lang w:val="en-US" w:eastAsia="zh-CN"/>
        </w:rPr>
        <w:t>签约声明：乙方充分理解并仔细阅读了合同文本，乙方签署合同后，即视为同意并接受本合同全部条款。</w:t>
      </w:r>
    </w:p>
    <w:p w14:paraId="3B932211">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_GB2312" w:hAnsi="仿宋_GB2312" w:eastAsia="仿宋_GB2312" w:cs="仿宋_GB2312"/>
          <w:b/>
          <w:bCs w:val="0"/>
          <w:i/>
          <w:iCs/>
          <w:color w:val="auto"/>
          <w:sz w:val="24"/>
          <w:highlight w:val="none"/>
          <w:u w:val="none"/>
          <w:lang w:val="en-US" w:eastAsia="zh-CN"/>
        </w:rPr>
      </w:pPr>
      <w:r>
        <w:rPr>
          <w:rFonts w:hint="eastAsia" w:ascii="仿宋_GB2312" w:hAnsi="仿宋_GB2312" w:eastAsia="仿宋_GB2312" w:cs="仿宋_GB2312"/>
          <w:b/>
          <w:bCs w:val="0"/>
          <w:i/>
          <w:iCs/>
          <w:color w:val="auto"/>
          <w:sz w:val="24"/>
          <w:highlight w:val="none"/>
          <w:u w:val="none"/>
          <w:lang w:val="en-US" w:eastAsia="zh-CN"/>
        </w:rPr>
        <w:t>乙方为依法设立、合法存续的法人，或得到法人合法授权的分支机构或其他组织，有权签订本合同，并知悉签订本合同后享有的权利和应承担的义务。乙方提交的文件及资料均真实合法有效，如存在欺诈或违约行为应承担相应的法律责任。乙方自愿签订本合同并按约履行义务。</w:t>
      </w:r>
    </w:p>
    <w:p w14:paraId="584707DC">
      <w:pPr>
        <w:keepNext w:val="0"/>
        <w:keepLines w:val="0"/>
        <w:pageBreakBefore w:val="0"/>
        <w:widowControl w:val="0"/>
        <w:kinsoku/>
        <w:wordWrap/>
        <w:overflowPunct/>
        <w:topLinePunct w:val="0"/>
        <w:bidi w:val="0"/>
        <w:snapToGrid/>
        <w:spacing w:line="360" w:lineRule="auto"/>
        <w:ind w:firstLine="482" w:firstLineChars="200"/>
        <w:textAlignment w:val="auto"/>
        <w:rPr>
          <w:rFonts w:hint="default" w:ascii="仿宋_GB2312" w:hAnsi="仿宋_GB2312" w:eastAsia="仿宋_GB2312" w:cs="仿宋_GB2312"/>
          <w:b/>
          <w:color w:val="auto"/>
          <w:sz w:val="24"/>
          <w:highlight w:val="none"/>
          <w:lang w:val="en-US" w:eastAsia="zh-CN"/>
        </w:rPr>
      </w:pPr>
      <w:r>
        <w:rPr>
          <w:rFonts w:hint="eastAsia" w:ascii="仿宋_GB2312" w:hAnsi="仿宋_GB2312" w:eastAsia="仿宋_GB2312" w:cs="仿宋_GB2312"/>
          <w:b/>
          <w:color w:val="auto"/>
          <w:sz w:val="24"/>
          <w:highlight w:val="none"/>
        </w:rPr>
        <w:t>（以下无正文）</w:t>
      </w:r>
    </w:p>
    <w:p w14:paraId="18FA1B73">
      <w:pPr>
        <w:keepNext w:val="0"/>
        <w:keepLines w:val="0"/>
        <w:pageBreakBefore w:val="0"/>
        <w:widowControl w:val="0"/>
        <w:kinsoku/>
        <w:wordWrap/>
        <w:overflowPunct/>
        <w:topLinePunct w:val="0"/>
        <w:bidi w:val="0"/>
        <w:snapToGrid/>
        <w:spacing w:line="360" w:lineRule="auto"/>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tbl>
      <w:tblPr>
        <w:tblStyle w:val="9"/>
        <w:tblpPr w:leftFromText="180" w:rightFromText="180" w:vertAnchor="text" w:horzAnchor="page" w:tblpX="2007" w:tblpY="434"/>
        <w:tblOverlap w:val="never"/>
        <w:tblW w:w="0" w:type="auto"/>
        <w:tblInd w:w="0" w:type="dxa"/>
        <w:tblLayout w:type="autofit"/>
        <w:tblCellMar>
          <w:top w:w="0" w:type="dxa"/>
          <w:left w:w="108" w:type="dxa"/>
          <w:bottom w:w="0" w:type="dxa"/>
          <w:right w:w="108" w:type="dxa"/>
        </w:tblCellMar>
      </w:tblPr>
      <w:tblGrid>
        <w:gridCol w:w="4197"/>
        <w:gridCol w:w="4217"/>
      </w:tblGrid>
      <w:tr w14:paraId="7D9FA741">
        <w:tblPrEx>
          <w:tblCellMar>
            <w:top w:w="0" w:type="dxa"/>
            <w:left w:w="108" w:type="dxa"/>
            <w:bottom w:w="0" w:type="dxa"/>
            <w:right w:w="108" w:type="dxa"/>
          </w:tblCellMar>
        </w:tblPrEx>
        <w:tc>
          <w:tcPr>
            <w:tcW w:w="4197" w:type="dxa"/>
          </w:tcPr>
          <w:p w14:paraId="1523CF50">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lang w:val="en-US" w:eastAsia="zh-CN"/>
              </w:rPr>
              <w:t>甲方（盖章）：</w:t>
            </w:r>
          </w:p>
          <w:p w14:paraId="6FEF4D82">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AA0AC6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或其委托代理人（签字）：</w:t>
            </w:r>
          </w:p>
          <w:p w14:paraId="4482C58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联系地址：</w:t>
            </w:r>
          </w:p>
          <w:p w14:paraId="54694E03">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联系电话：</w:t>
            </w:r>
          </w:p>
          <w:p w14:paraId="5CEA1D3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right"/>
              <w:textAlignment w:val="auto"/>
              <w:rPr>
                <w:rFonts w:hint="eastAsia" w:ascii="仿宋_GB2312" w:hAnsi="仿宋_GB2312" w:eastAsia="仿宋_GB2312" w:cs="仿宋_GB2312"/>
                <w:color w:val="auto"/>
                <w:kern w:val="0"/>
                <w:sz w:val="24"/>
                <w:szCs w:val="24"/>
                <w:highlight w:val="none"/>
              </w:rPr>
            </w:pPr>
          </w:p>
          <w:p w14:paraId="48CCEFDD">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center"/>
              <w:textAlignment w:val="auto"/>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年</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月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日</w:t>
            </w:r>
          </w:p>
        </w:tc>
        <w:tc>
          <w:tcPr>
            <w:tcW w:w="4217" w:type="dxa"/>
          </w:tcPr>
          <w:p w14:paraId="50A8AC31">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kern w:val="0"/>
                <w:sz w:val="24"/>
                <w:szCs w:val="24"/>
                <w:highlight w:val="none"/>
                <w:lang w:val="en-US" w:eastAsia="zh-CN"/>
              </w:rPr>
              <w:t>乙方</w:t>
            </w:r>
            <w:r>
              <w:rPr>
                <w:rFonts w:hint="eastAsia" w:ascii="仿宋_GB2312" w:hAnsi="仿宋_GB2312" w:eastAsia="仿宋_GB2312" w:cs="仿宋_GB2312"/>
                <w:color w:val="auto"/>
                <w:kern w:val="0"/>
                <w:sz w:val="24"/>
                <w:szCs w:val="24"/>
                <w:highlight w:val="none"/>
              </w:rPr>
              <w:t>（盖章）：</w:t>
            </w:r>
          </w:p>
          <w:p w14:paraId="70D8498C">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C958C57">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或其委托代理人（签字）：</w:t>
            </w:r>
          </w:p>
          <w:p w14:paraId="4F16EE0F">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联系地址：</w:t>
            </w:r>
          </w:p>
          <w:p w14:paraId="7259DC09">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联系电话：</w:t>
            </w:r>
          </w:p>
          <w:p w14:paraId="4937F14E">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jc w:val="both"/>
              <w:textAlignment w:val="auto"/>
              <w:rPr>
                <w:rFonts w:hint="eastAsia" w:ascii="仿宋_GB2312" w:hAnsi="仿宋_GB2312" w:eastAsia="仿宋_GB2312" w:cs="仿宋_GB2312"/>
                <w:b w:val="0"/>
                <w:bCs w:val="0"/>
                <w:color w:val="auto"/>
                <w:kern w:val="0"/>
                <w:sz w:val="24"/>
                <w:szCs w:val="24"/>
                <w:highlight w:val="none"/>
              </w:rPr>
            </w:pPr>
          </w:p>
          <w:p w14:paraId="61A2A7DA">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firstLine="480" w:firstLineChars="20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 xml:space="preserve">年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月 </w:t>
            </w:r>
            <w:r>
              <w:rPr>
                <w:rFonts w:hint="eastAsia" w:ascii="仿宋_GB2312" w:hAnsi="仿宋_GB2312" w:eastAsia="仿宋_GB2312" w:cs="仿宋_GB2312"/>
                <w:color w:val="auto"/>
                <w:kern w:val="0"/>
                <w:sz w:val="24"/>
                <w:szCs w:val="24"/>
                <w:highlight w:val="none"/>
                <w:lang w:val="en-US" w:eastAsia="zh-CN"/>
              </w:rPr>
              <w:t xml:space="preserve"> </w:t>
            </w:r>
            <w:r>
              <w:rPr>
                <w:rFonts w:hint="eastAsia" w:ascii="仿宋_GB2312" w:hAnsi="仿宋_GB2312" w:eastAsia="仿宋_GB2312" w:cs="仿宋_GB2312"/>
                <w:color w:val="auto"/>
                <w:kern w:val="0"/>
                <w:sz w:val="24"/>
                <w:szCs w:val="24"/>
                <w:highlight w:val="none"/>
              </w:rPr>
              <w:t xml:space="preserve"> 日</w:t>
            </w:r>
          </w:p>
        </w:tc>
      </w:tr>
    </w:tbl>
    <w:p w14:paraId="3EFB271E">
      <w:pPr>
        <w:keepNext w:val="0"/>
        <w:keepLines w:val="0"/>
        <w:pageBreakBefore w:val="0"/>
        <w:widowControl w:val="0"/>
        <w:kinsoku/>
        <w:wordWrap/>
        <w:overflowPunct/>
        <w:topLinePunct w:val="0"/>
        <w:bidi w:val="0"/>
        <w:snapToGrid/>
        <w:spacing w:line="360" w:lineRule="auto"/>
        <w:ind w:firstLine="840" w:firstLineChars="350"/>
        <w:textAlignment w:val="auto"/>
        <w:rPr>
          <w:rFonts w:hint="eastAsia" w:ascii="仿宋_GB2312" w:hAnsi="仿宋_GB2312" w:eastAsia="仿宋_GB2312" w:cs="仿宋_GB2312"/>
          <w:color w:val="auto"/>
          <w:sz w:val="24"/>
          <w:highlight w:val="none"/>
        </w:rPr>
      </w:pPr>
    </w:p>
    <w:p w14:paraId="2138879A">
      <w:pPr>
        <w:rPr>
          <w:color w:val="auto"/>
          <w:highlight w:val="none"/>
        </w:rPr>
      </w:pPr>
    </w:p>
    <w:p w14:paraId="5E50D96A">
      <w:pPr>
        <w:rPr>
          <w:color w:val="auto"/>
          <w:highlight w:val="none"/>
        </w:rPr>
      </w:pPr>
    </w:p>
    <w:p w14:paraId="0671D1F2">
      <w:pPr>
        <w:rPr>
          <w:color w:val="auto"/>
          <w:highlight w:val="none"/>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云慕长风" w:date="2026-07-30T16:47:50Z" w:initials="">
    <w:p w14:paraId="1FFAC426">
      <w:pPr>
        <w:pStyle w:val="4"/>
        <w:rPr>
          <w:rFonts w:hint="default" w:eastAsia="宋体"/>
          <w:lang w:val="en-US" w:eastAsia="zh-CN"/>
        </w:rPr>
      </w:pPr>
      <w:r>
        <w:rPr>
          <w:rFonts w:hint="eastAsia"/>
          <w:lang w:val="en-US" w:eastAsia="zh-CN"/>
        </w:rPr>
        <w:t>已修改</w:t>
      </w:r>
    </w:p>
  </w:comment>
  <w:comment w:id="1" w:author="Zeng-HCLS" w:date="2026-07-30T12:02:26Z" w:initials="">
    <w:p w14:paraId="13C72291">
      <w:pPr>
        <w:pStyle w:val="4"/>
        <w:rPr>
          <w:rFonts w:hint="default" w:eastAsia="宋体"/>
          <w:lang w:val="en-US" w:eastAsia="zh-CN"/>
        </w:rPr>
      </w:pPr>
      <w:r>
        <w:rPr>
          <w:rFonts w:hint="eastAsia"/>
          <w:lang w:val="en-US" w:eastAsia="zh-CN"/>
        </w:rPr>
        <w:t>建议与询价公告中关于单价所含内容的表述一致。</w:t>
      </w:r>
    </w:p>
  </w:comment>
  <w:comment w:id="2" w:author="云慕长风" w:date="2026-07-30T16:47:26Z" w:initials="">
    <w:p w14:paraId="23D0BFC4">
      <w:pPr>
        <w:pStyle w:val="4"/>
        <w:rPr>
          <w:rFonts w:hint="eastAsia" w:eastAsia="宋体"/>
          <w:lang w:val="en-US" w:eastAsia="zh-CN"/>
        </w:rPr>
      </w:pPr>
      <w:r>
        <w:rPr>
          <w:rFonts w:hint="eastAsia"/>
          <w:lang w:val="en-US" w:eastAsia="zh-CN"/>
        </w:rPr>
        <w:t>已修改</w:t>
      </w:r>
    </w:p>
  </w:comment>
  <w:comment w:id="3" w:author="Zeng-HCLS" w:date="2026-07-30T12:03:57Z" w:initials="">
    <w:p w14:paraId="4694F4D1">
      <w:pPr>
        <w:pStyle w:val="4"/>
        <w:rPr>
          <w:rFonts w:hint="default" w:eastAsia="宋体"/>
          <w:lang w:val="en-US" w:eastAsia="zh-CN"/>
        </w:rPr>
      </w:pPr>
      <w:r>
        <w:rPr>
          <w:rFonts w:hint="eastAsia"/>
          <w:lang w:val="en-US" w:eastAsia="zh-CN"/>
        </w:rPr>
        <w:t>已确定现金保证金？</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FAC426" w15:done="0"/>
  <w15:commentEx w15:paraId="13C72291" w15:done="0"/>
  <w15:commentEx w15:paraId="23D0BFC4" w15:done="0" w15:paraIdParent="13C72291"/>
  <w15:commentEx w15:paraId="4694F4D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4379F">
    <w:pPr>
      <w:pStyle w:val="6"/>
    </w:pPr>
  </w:p>
  <w:p w14:paraId="5683B5F4">
    <w:pPr>
      <w:pStyle w:val="6"/>
    </w:pPr>
  </w:p>
  <w:p w14:paraId="2DFF7AB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5D9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05D9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云慕长风">
    <w15:presenceInfo w15:providerId="WPS Office" w15:userId="139117695"/>
  </w15:person>
  <w15:person w15:author="Zeng-HCLS">
    <w15:presenceInfo w15:providerId="WPS Office" w15:userId="3097374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0NDc3YmEwYjFhZDlkMzE2ZmE2OThkNjY0MzcyYzkifQ=="/>
  </w:docVars>
  <w:rsids>
    <w:rsidRoot w:val="004743BB"/>
    <w:rsid w:val="00013D43"/>
    <w:rsid w:val="001745A1"/>
    <w:rsid w:val="002377B5"/>
    <w:rsid w:val="00435D80"/>
    <w:rsid w:val="004479E5"/>
    <w:rsid w:val="004743BB"/>
    <w:rsid w:val="008D62BE"/>
    <w:rsid w:val="00A11D27"/>
    <w:rsid w:val="00AC6758"/>
    <w:rsid w:val="00BC32F3"/>
    <w:rsid w:val="00DD7564"/>
    <w:rsid w:val="00DE2CCE"/>
    <w:rsid w:val="00F14529"/>
    <w:rsid w:val="00FF04FC"/>
    <w:rsid w:val="01364C43"/>
    <w:rsid w:val="01420DBF"/>
    <w:rsid w:val="01487061"/>
    <w:rsid w:val="015D2152"/>
    <w:rsid w:val="01766893"/>
    <w:rsid w:val="01AC75F0"/>
    <w:rsid w:val="01DE1F7F"/>
    <w:rsid w:val="020E3E06"/>
    <w:rsid w:val="024F3C40"/>
    <w:rsid w:val="02714395"/>
    <w:rsid w:val="028F54A8"/>
    <w:rsid w:val="02B0089C"/>
    <w:rsid w:val="02BC3819"/>
    <w:rsid w:val="02E55236"/>
    <w:rsid w:val="03252632"/>
    <w:rsid w:val="036521A3"/>
    <w:rsid w:val="03D171B2"/>
    <w:rsid w:val="042B6411"/>
    <w:rsid w:val="04567CE7"/>
    <w:rsid w:val="04A647CA"/>
    <w:rsid w:val="051A0FB1"/>
    <w:rsid w:val="059C4F66"/>
    <w:rsid w:val="05A05951"/>
    <w:rsid w:val="0616687A"/>
    <w:rsid w:val="063351E1"/>
    <w:rsid w:val="06A4130A"/>
    <w:rsid w:val="06D25D4A"/>
    <w:rsid w:val="06D373CC"/>
    <w:rsid w:val="06F329BA"/>
    <w:rsid w:val="078C3797"/>
    <w:rsid w:val="0791287A"/>
    <w:rsid w:val="07D57036"/>
    <w:rsid w:val="07E7050C"/>
    <w:rsid w:val="081E6D6D"/>
    <w:rsid w:val="083825E5"/>
    <w:rsid w:val="088E48F0"/>
    <w:rsid w:val="098F7F23"/>
    <w:rsid w:val="09EE3789"/>
    <w:rsid w:val="0A232419"/>
    <w:rsid w:val="0A373D8A"/>
    <w:rsid w:val="0AA22845"/>
    <w:rsid w:val="0AE10EA0"/>
    <w:rsid w:val="0AF73FD1"/>
    <w:rsid w:val="0AFB3396"/>
    <w:rsid w:val="0B372F5C"/>
    <w:rsid w:val="0B5A00BC"/>
    <w:rsid w:val="0B6C7DF0"/>
    <w:rsid w:val="0BA15102"/>
    <w:rsid w:val="0BB51797"/>
    <w:rsid w:val="0BF16C73"/>
    <w:rsid w:val="0BF40511"/>
    <w:rsid w:val="0C28640C"/>
    <w:rsid w:val="0C753B2E"/>
    <w:rsid w:val="0CC0441B"/>
    <w:rsid w:val="0CFB2D65"/>
    <w:rsid w:val="0D181FDD"/>
    <w:rsid w:val="0DAB4BFF"/>
    <w:rsid w:val="0DC36232"/>
    <w:rsid w:val="0DF93BBD"/>
    <w:rsid w:val="0DFE0364"/>
    <w:rsid w:val="0E2B48B3"/>
    <w:rsid w:val="0EAF2DD4"/>
    <w:rsid w:val="0F020EB4"/>
    <w:rsid w:val="0F3D5D2B"/>
    <w:rsid w:val="0F5A67F4"/>
    <w:rsid w:val="0FA43552"/>
    <w:rsid w:val="0FA83AEC"/>
    <w:rsid w:val="0FDA5C70"/>
    <w:rsid w:val="10093E5F"/>
    <w:rsid w:val="101A3EF6"/>
    <w:rsid w:val="105441D1"/>
    <w:rsid w:val="107734BE"/>
    <w:rsid w:val="10F845FF"/>
    <w:rsid w:val="11203B56"/>
    <w:rsid w:val="117F262B"/>
    <w:rsid w:val="11C444E1"/>
    <w:rsid w:val="11D12E44"/>
    <w:rsid w:val="122C2AFC"/>
    <w:rsid w:val="12883EBE"/>
    <w:rsid w:val="12F855FE"/>
    <w:rsid w:val="1319085D"/>
    <w:rsid w:val="13223BB5"/>
    <w:rsid w:val="133E5820"/>
    <w:rsid w:val="135C425F"/>
    <w:rsid w:val="139E2AE5"/>
    <w:rsid w:val="13B26D09"/>
    <w:rsid w:val="142849AE"/>
    <w:rsid w:val="14304342"/>
    <w:rsid w:val="144755F8"/>
    <w:rsid w:val="1461426A"/>
    <w:rsid w:val="14B12B2B"/>
    <w:rsid w:val="14E2047F"/>
    <w:rsid w:val="15D63EC4"/>
    <w:rsid w:val="164017E5"/>
    <w:rsid w:val="16663DB9"/>
    <w:rsid w:val="16A20B69"/>
    <w:rsid w:val="16B13626"/>
    <w:rsid w:val="16B9666F"/>
    <w:rsid w:val="170B4961"/>
    <w:rsid w:val="171D1369"/>
    <w:rsid w:val="17593CF1"/>
    <w:rsid w:val="17824C23"/>
    <w:rsid w:val="17E86A50"/>
    <w:rsid w:val="17ED0B2F"/>
    <w:rsid w:val="18574A5C"/>
    <w:rsid w:val="18642373"/>
    <w:rsid w:val="18F338FE"/>
    <w:rsid w:val="19557F4F"/>
    <w:rsid w:val="198C1AFE"/>
    <w:rsid w:val="19D90700"/>
    <w:rsid w:val="19E44F18"/>
    <w:rsid w:val="19F57A56"/>
    <w:rsid w:val="1A0C6F05"/>
    <w:rsid w:val="1A7A42D7"/>
    <w:rsid w:val="1B1B599A"/>
    <w:rsid w:val="1B233373"/>
    <w:rsid w:val="1B7A52C0"/>
    <w:rsid w:val="1B9413C8"/>
    <w:rsid w:val="1BAD4238"/>
    <w:rsid w:val="1C331A7E"/>
    <w:rsid w:val="1C481FEF"/>
    <w:rsid w:val="1C640D9B"/>
    <w:rsid w:val="1CB15B83"/>
    <w:rsid w:val="1CC42265"/>
    <w:rsid w:val="1CFA0527"/>
    <w:rsid w:val="1D7C3EC2"/>
    <w:rsid w:val="1D8965DF"/>
    <w:rsid w:val="1D8E6474"/>
    <w:rsid w:val="1DBC0763"/>
    <w:rsid w:val="1E4C5F8A"/>
    <w:rsid w:val="1E7D4396"/>
    <w:rsid w:val="1EA27958"/>
    <w:rsid w:val="1EA5622E"/>
    <w:rsid w:val="1F161A25"/>
    <w:rsid w:val="1F851448"/>
    <w:rsid w:val="1F9E2171"/>
    <w:rsid w:val="1FE14E46"/>
    <w:rsid w:val="20C45692"/>
    <w:rsid w:val="214D44F3"/>
    <w:rsid w:val="223245CE"/>
    <w:rsid w:val="223E5BEA"/>
    <w:rsid w:val="22582497"/>
    <w:rsid w:val="22CA7B47"/>
    <w:rsid w:val="22E7466D"/>
    <w:rsid w:val="234F4D5C"/>
    <w:rsid w:val="239D0B69"/>
    <w:rsid w:val="23C9509C"/>
    <w:rsid w:val="23CB7951"/>
    <w:rsid w:val="23E6791D"/>
    <w:rsid w:val="2419690F"/>
    <w:rsid w:val="246F29D3"/>
    <w:rsid w:val="24877D1C"/>
    <w:rsid w:val="248F08C6"/>
    <w:rsid w:val="24C148B0"/>
    <w:rsid w:val="24C953C5"/>
    <w:rsid w:val="24DD2AB9"/>
    <w:rsid w:val="25F93317"/>
    <w:rsid w:val="260A05C8"/>
    <w:rsid w:val="26270217"/>
    <w:rsid w:val="2656005C"/>
    <w:rsid w:val="266320C3"/>
    <w:rsid w:val="2678262D"/>
    <w:rsid w:val="26A94695"/>
    <w:rsid w:val="26D95D87"/>
    <w:rsid w:val="271A7CF9"/>
    <w:rsid w:val="27283A04"/>
    <w:rsid w:val="27315727"/>
    <w:rsid w:val="27383550"/>
    <w:rsid w:val="273B32E9"/>
    <w:rsid w:val="278F1205"/>
    <w:rsid w:val="28266AEB"/>
    <w:rsid w:val="2849353B"/>
    <w:rsid w:val="289672E0"/>
    <w:rsid w:val="2994518C"/>
    <w:rsid w:val="29986528"/>
    <w:rsid w:val="2A8327A1"/>
    <w:rsid w:val="2AEF3F25"/>
    <w:rsid w:val="2B0100FD"/>
    <w:rsid w:val="2B233EFB"/>
    <w:rsid w:val="2B2D0EF2"/>
    <w:rsid w:val="2B7E3F40"/>
    <w:rsid w:val="2BA016C4"/>
    <w:rsid w:val="2BB67139"/>
    <w:rsid w:val="2CC47634"/>
    <w:rsid w:val="2CCA7FC3"/>
    <w:rsid w:val="2D9B2143"/>
    <w:rsid w:val="2DDE64D3"/>
    <w:rsid w:val="2E1A1DC5"/>
    <w:rsid w:val="2E4017AA"/>
    <w:rsid w:val="2E8840D2"/>
    <w:rsid w:val="2E8A4AD2"/>
    <w:rsid w:val="2E9A4AF0"/>
    <w:rsid w:val="2EAC56F5"/>
    <w:rsid w:val="2EF35C41"/>
    <w:rsid w:val="2F77394A"/>
    <w:rsid w:val="2FA739D8"/>
    <w:rsid w:val="2FBD576E"/>
    <w:rsid w:val="302C06AC"/>
    <w:rsid w:val="30850E88"/>
    <w:rsid w:val="30A371B5"/>
    <w:rsid w:val="30A9101A"/>
    <w:rsid w:val="30D06992"/>
    <w:rsid w:val="30E402A4"/>
    <w:rsid w:val="30EF1BEA"/>
    <w:rsid w:val="30F057C5"/>
    <w:rsid w:val="314972E9"/>
    <w:rsid w:val="31905D36"/>
    <w:rsid w:val="32180604"/>
    <w:rsid w:val="326B246D"/>
    <w:rsid w:val="32AB79B4"/>
    <w:rsid w:val="32E375AC"/>
    <w:rsid w:val="33005D6B"/>
    <w:rsid w:val="33166097"/>
    <w:rsid w:val="33184513"/>
    <w:rsid w:val="334B5115"/>
    <w:rsid w:val="34190265"/>
    <w:rsid w:val="3429573D"/>
    <w:rsid w:val="34627E5E"/>
    <w:rsid w:val="34955FD2"/>
    <w:rsid w:val="349D49F2"/>
    <w:rsid w:val="34E46DD3"/>
    <w:rsid w:val="356F257B"/>
    <w:rsid w:val="3571401C"/>
    <w:rsid w:val="36050AA1"/>
    <w:rsid w:val="36455341"/>
    <w:rsid w:val="3654743E"/>
    <w:rsid w:val="36981915"/>
    <w:rsid w:val="36C00E6C"/>
    <w:rsid w:val="36E963B1"/>
    <w:rsid w:val="37280DED"/>
    <w:rsid w:val="37362EDC"/>
    <w:rsid w:val="37483973"/>
    <w:rsid w:val="376F0F6B"/>
    <w:rsid w:val="377203B8"/>
    <w:rsid w:val="38105982"/>
    <w:rsid w:val="38262F51"/>
    <w:rsid w:val="388C0E52"/>
    <w:rsid w:val="38B932C2"/>
    <w:rsid w:val="38CC25C8"/>
    <w:rsid w:val="38CF183A"/>
    <w:rsid w:val="390F4F04"/>
    <w:rsid w:val="39111E53"/>
    <w:rsid w:val="397F500E"/>
    <w:rsid w:val="39AD1B7B"/>
    <w:rsid w:val="39BD1F51"/>
    <w:rsid w:val="39BF74F8"/>
    <w:rsid w:val="39C5630D"/>
    <w:rsid w:val="39E60BE9"/>
    <w:rsid w:val="3A151FA0"/>
    <w:rsid w:val="3A4B4EF0"/>
    <w:rsid w:val="3AB1035B"/>
    <w:rsid w:val="3AE510DD"/>
    <w:rsid w:val="3AE778C4"/>
    <w:rsid w:val="3B084B8F"/>
    <w:rsid w:val="3B120FE8"/>
    <w:rsid w:val="3B384F54"/>
    <w:rsid w:val="3B4F076A"/>
    <w:rsid w:val="3BBC21FD"/>
    <w:rsid w:val="3BED44B1"/>
    <w:rsid w:val="3BEE0229"/>
    <w:rsid w:val="3C06211F"/>
    <w:rsid w:val="3C3B693D"/>
    <w:rsid w:val="3CDD4925"/>
    <w:rsid w:val="3CF33CF1"/>
    <w:rsid w:val="3D437323"/>
    <w:rsid w:val="3D673DEF"/>
    <w:rsid w:val="3D74475E"/>
    <w:rsid w:val="3DD578D2"/>
    <w:rsid w:val="3E741436"/>
    <w:rsid w:val="3E986179"/>
    <w:rsid w:val="3EAD43CC"/>
    <w:rsid w:val="3ECF38DD"/>
    <w:rsid w:val="3F0044FB"/>
    <w:rsid w:val="3F8E7E48"/>
    <w:rsid w:val="3FBB0422"/>
    <w:rsid w:val="4015459A"/>
    <w:rsid w:val="40281299"/>
    <w:rsid w:val="40A067FB"/>
    <w:rsid w:val="40F307D8"/>
    <w:rsid w:val="411E6EBB"/>
    <w:rsid w:val="41457458"/>
    <w:rsid w:val="41C310BB"/>
    <w:rsid w:val="420662CD"/>
    <w:rsid w:val="421D53C4"/>
    <w:rsid w:val="424010B3"/>
    <w:rsid w:val="43272671"/>
    <w:rsid w:val="432D3DCC"/>
    <w:rsid w:val="434C41B3"/>
    <w:rsid w:val="43AB453F"/>
    <w:rsid w:val="43D7642F"/>
    <w:rsid w:val="43DA6D86"/>
    <w:rsid w:val="45135504"/>
    <w:rsid w:val="45B55914"/>
    <w:rsid w:val="46080139"/>
    <w:rsid w:val="462B34C7"/>
    <w:rsid w:val="465E0415"/>
    <w:rsid w:val="46694FAF"/>
    <w:rsid w:val="473B6A7B"/>
    <w:rsid w:val="477912EF"/>
    <w:rsid w:val="479317F6"/>
    <w:rsid w:val="47AC3357"/>
    <w:rsid w:val="47C72840"/>
    <w:rsid w:val="47EF7803"/>
    <w:rsid w:val="482E573B"/>
    <w:rsid w:val="48D554D7"/>
    <w:rsid w:val="4912025B"/>
    <w:rsid w:val="49690EEF"/>
    <w:rsid w:val="49E35145"/>
    <w:rsid w:val="49F6738F"/>
    <w:rsid w:val="4A08695A"/>
    <w:rsid w:val="4AAF46DE"/>
    <w:rsid w:val="4AFB201B"/>
    <w:rsid w:val="4AFE292D"/>
    <w:rsid w:val="4B2B2900"/>
    <w:rsid w:val="4BEE1C3D"/>
    <w:rsid w:val="4C1A0BDF"/>
    <w:rsid w:val="4C2D5055"/>
    <w:rsid w:val="4D2E492A"/>
    <w:rsid w:val="4D722A68"/>
    <w:rsid w:val="4DEA0250"/>
    <w:rsid w:val="4EDF56B9"/>
    <w:rsid w:val="4EE00483"/>
    <w:rsid w:val="4F147B4F"/>
    <w:rsid w:val="4F905428"/>
    <w:rsid w:val="4FA71C3F"/>
    <w:rsid w:val="4FBC72E5"/>
    <w:rsid w:val="4FC7250D"/>
    <w:rsid w:val="4FFC6390"/>
    <w:rsid w:val="50C218CD"/>
    <w:rsid w:val="51024103"/>
    <w:rsid w:val="516F13BA"/>
    <w:rsid w:val="51740D35"/>
    <w:rsid w:val="518E3BE9"/>
    <w:rsid w:val="52211D20"/>
    <w:rsid w:val="52B551A5"/>
    <w:rsid w:val="532638AB"/>
    <w:rsid w:val="537962CB"/>
    <w:rsid w:val="538F00C3"/>
    <w:rsid w:val="53AE6AB8"/>
    <w:rsid w:val="53E127A4"/>
    <w:rsid w:val="547370C6"/>
    <w:rsid w:val="54787FAB"/>
    <w:rsid w:val="54FE4BE1"/>
    <w:rsid w:val="555801F3"/>
    <w:rsid w:val="558B12E4"/>
    <w:rsid w:val="55BB0D24"/>
    <w:rsid w:val="56666EE2"/>
    <w:rsid w:val="567158F2"/>
    <w:rsid w:val="569E486D"/>
    <w:rsid w:val="574F7976"/>
    <w:rsid w:val="5750255B"/>
    <w:rsid w:val="577332AC"/>
    <w:rsid w:val="57C24231"/>
    <w:rsid w:val="57EE6D4B"/>
    <w:rsid w:val="582A5BA9"/>
    <w:rsid w:val="583D0F3C"/>
    <w:rsid w:val="584C174F"/>
    <w:rsid w:val="58B20063"/>
    <w:rsid w:val="5943175D"/>
    <w:rsid w:val="59C33A3E"/>
    <w:rsid w:val="59D93E6F"/>
    <w:rsid w:val="59F4034C"/>
    <w:rsid w:val="5A3835F7"/>
    <w:rsid w:val="5A803AEB"/>
    <w:rsid w:val="5B0F6B9E"/>
    <w:rsid w:val="5B39706F"/>
    <w:rsid w:val="5B464E45"/>
    <w:rsid w:val="5BB06754"/>
    <w:rsid w:val="5BD86A64"/>
    <w:rsid w:val="5C884342"/>
    <w:rsid w:val="5C910AA2"/>
    <w:rsid w:val="5C923C74"/>
    <w:rsid w:val="5D1E11F2"/>
    <w:rsid w:val="5D40082C"/>
    <w:rsid w:val="5D79399F"/>
    <w:rsid w:val="5DCB1D21"/>
    <w:rsid w:val="5E174B31"/>
    <w:rsid w:val="5E1C218A"/>
    <w:rsid w:val="5E585906"/>
    <w:rsid w:val="5E8E423A"/>
    <w:rsid w:val="5E8F2093"/>
    <w:rsid w:val="5EFD0600"/>
    <w:rsid w:val="5F1F09E0"/>
    <w:rsid w:val="5FC765D8"/>
    <w:rsid w:val="600D3B3B"/>
    <w:rsid w:val="6025396A"/>
    <w:rsid w:val="608A1A22"/>
    <w:rsid w:val="60BB607C"/>
    <w:rsid w:val="60BD6A6C"/>
    <w:rsid w:val="60C07B37"/>
    <w:rsid w:val="60E253D9"/>
    <w:rsid w:val="61461DEA"/>
    <w:rsid w:val="619078B3"/>
    <w:rsid w:val="61E661F7"/>
    <w:rsid w:val="621E68C3"/>
    <w:rsid w:val="626C4178"/>
    <w:rsid w:val="6299419B"/>
    <w:rsid w:val="62D02B9B"/>
    <w:rsid w:val="62D20067"/>
    <w:rsid w:val="634D6AE7"/>
    <w:rsid w:val="63A25805"/>
    <w:rsid w:val="63BC0D4D"/>
    <w:rsid w:val="63CB1F4D"/>
    <w:rsid w:val="64144421"/>
    <w:rsid w:val="645F2884"/>
    <w:rsid w:val="64744EC0"/>
    <w:rsid w:val="64746C6E"/>
    <w:rsid w:val="647749B0"/>
    <w:rsid w:val="64EA7169"/>
    <w:rsid w:val="65527A91"/>
    <w:rsid w:val="65A41C8F"/>
    <w:rsid w:val="65C72604"/>
    <w:rsid w:val="65F126C7"/>
    <w:rsid w:val="66A16E18"/>
    <w:rsid w:val="66F5522F"/>
    <w:rsid w:val="67220C03"/>
    <w:rsid w:val="67AF596C"/>
    <w:rsid w:val="67CF31A0"/>
    <w:rsid w:val="68646FFA"/>
    <w:rsid w:val="68C006D4"/>
    <w:rsid w:val="68C10465"/>
    <w:rsid w:val="69B83AA1"/>
    <w:rsid w:val="69DD291F"/>
    <w:rsid w:val="6A445335"/>
    <w:rsid w:val="6A505088"/>
    <w:rsid w:val="6B152A21"/>
    <w:rsid w:val="6B242F56"/>
    <w:rsid w:val="6B3727A3"/>
    <w:rsid w:val="6BB66F56"/>
    <w:rsid w:val="6BF54DF9"/>
    <w:rsid w:val="6C3F4006"/>
    <w:rsid w:val="6C895281"/>
    <w:rsid w:val="6C8E6D3B"/>
    <w:rsid w:val="6D0A0F2E"/>
    <w:rsid w:val="6D48513C"/>
    <w:rsid w:val="6D7417F2"/>
    <w:rsid w:val="6D787CFF"/>
    <w:rsid w:val="6DF64B98"/>
    <w:rsid w:val="6E932C1C"/>
    <w:rsid w:val="6EA40162"/>
    <w:rsid w:val="6F6D68B3"/>
    <w:rsid w:val="6FEA072C"/>
    <w:rsid w:val="6FF77C20"/>
    <w:rsid w:val="702055DE"/>
    <w:rsid w:val="704E4817"/>
    <w:rsid w:val="70EA4A0E"/>
    <w:rsid w:val="72477770"/>
    <w:rsid w:val="728E1843"/>
    <w:rsid w:val="729606F7"/>
    <w:rsid w:val="72C963D7"/>
    <w:rsid w:val="731735E6"/>
    <w:rsid w:val="73816CB2"/>
    <w:rsid w:val="74671C5B"/>
    <w:rsid w:val="74FA31C0"/>
    <w:rsid w:val="75137DDD"/>
    <w:rsid w:val="756B70BB"/>
    <w:rsid w:val="758724E0"/>
    <w:rsid w:val="75F74F84"/>
    <w:rsid w:val="76E93811"/>
    <w:rsid w:val="76FB321F"/>
    <w:rsid w:val="77372AE7"/>
    <w:rsid w:val="77850C07"/>
    <w:rsid w:val="77A14EEA"/>
    <w:rsid w:val="77A66C2C"/>
    <w:rsid w:val="786B1CDE"/>
    <w:rsid w:val="788436AB"/>
    <w:rsid w:val="78D50942"/>
    <w:rsid w:val="78F55DB3"/>
    <w:rsid w:val="795B44EA"/>
    <w:rsid w:val="796468AD"/>
    <w:rsid w:val="79711576"/>
    <w:rsid w:val="79E2081D"/>
    <w:rsid w:val="7A8A0B42"/>
    <w:rsid w:val="7A8C0655"/>
    <w:rsid w:val="7AC35E02"/>
    <w:rsid w:val="7B564EC8"/>
    <w:rsid w:val="7B7A2964"/>
    <w:rsid w:val="7BAE6A37"/>
    <w:rsid w:val="7C4116D4"/>
    <w:rsid w:val="7C701FB9"/>
    <w:rsid w:val="7C8C175D"/>
    <w:rsid w:val="7D006915"/>
    <w:rsid w:val="7D3C518D"/>
    <w:rsid w:val="7D5F62B6"/>
    <w:rsid w:val="7DB77EF5"/>
    <w:rsid w:val="7E19764B"/>
    <w:rsid w:val="7E1C5F55"/>
    <w:rsid w:val="7E484650"/>
    <w:rsid w:val="7E945349"/>
    <w:rsid w:val="7EB35B77"/>
    <w:rsid w:val="7ED94394"/>
    <w:rsid w:val="7F0A04A3"/>
    <w:rsid w:val="7F503D27"/>
    <w:rsid w:val="7FB34097"/>
    <w:rsid w:val="E62FC591"/>
    <w:rsid w:val="FF3E8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Normal Indent"/>
    <w:basedOn w:val="1"/>
    <w:qFormat/>
    <w:uiPriority w:val="0"/>
    <w:pPr>
      <w:ind w:firstLine="420" w:firstLineChars="200"/>
    </w:pPr>
  </w:style>
  <w:style w:type="paragraph" w:styleId="4">
    <w:name w:val="annotation text"/>
    <w:basedOn w:val="1"/>
    <w:qFormat/>
    <w:uiPriority w:val="0"/>
    <w:pPr>
      <w:jc w:val="left"/>
    </w:pPr>
  </w:style>
  <w:style w:type="paragraph" w:styleId="5">
    <w:name w:val="Balloon Text"/>
    <w:basedOn w:val="1"/>
    <w:link w:val="13"/>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character" w:customStyle="1" w:styleId="13">
    <w:name w:val="批注框文本 字符"/>
    <w:basedOn w:val="10"/>
    <w:link w:val="5"/>
    <w:qFormat/>
    <w:uiPriority w:val="0"/>
    <w:rPr>
      <w:kern w:val="2"/>
      <w:sz w:val="18"/>
      <w:szCs w:val="18"/>
    </w:r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10</Pages>
  <Words>6143</Words>
  <Characters>6420</Characters>
  <Lines>33</Lines>
  <Paragraphs>9</Paragraphs>
  <TotalTime>0</TotalTime>
  <ScaleCrop>false</ScaleCrop>
  <LinksUpToDate>false</LinksUpToDate>
  <CharactersWithSpaces>6726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2022-08-23T22:44:00Z</dcterms:created>
  <dc:creator>Administrator</dc:creator>
  <cp:lastModifiedBy>云慕长风</cp:lastModifiedBy>
  <cp:lastPrinted>2026-05-20T07:20:00Z</cp:lastPrinted>
  <dcterms:modified xsi:type="dcterms:W3CDTF">2026-08-04T07:22:36Z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16D890A96A0C4B40992ECAD6B862876C_13</vt:lpwstr>
  </property>
  <property fmtid="{D5CDD505-2E9C-101B-9397-08002B2CF9AE}" pid="4" name="KSOTemplateDocerSaveRecord">
    <vt:lpwstr>eyJoZGlkIjoiMmRkYTJjZWU3YWMxYzU5MjdkY2FmMjY5NjhhMWY0NDUiLCJ1c2VySWQiOiIyOTM0ODczMTMifQ==</vt:lpwstr>
  </property>
</Properties>
</file>